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95ED" w14:textId="510F136F" w:rsidR="00A6244D" w:rsidRPr="00A6244D" w:rsidRDefault="00A6244D" w:rsidP="004F494D">
      <w:pPr>
        <w:pBdr>
          <w:top w:val="single" w:sz="4" w:space="1" w:color="auto"/>
          <w:left w:val="single" w:sz="4" w:space="4" w:color="auto"/>
          <w:bottom w:val="single" w:sz="4" w:space="1" w:color="auto"/>
          <w:right w:val="single" w:sz="4" w:space="4" w:color="auto"/>
        </w:pBdr>
        <w:spacing w:after="120" w:line="259" w:lineRule="auto"/>
        <w:jc w:val="center"/>
        <w:rPr>
          <w:rFonts w:ascii="Arial" w:hAnsi="Arial" w:cs="Arial"/>
          <w:b/>
          <w:bCs/>
          <w:sz w:val="28"/>
          <w:szCs w:val="28"/>
        </w:rPr>
      </w:pPr>
      <w:bookmarkStart w:id="1" w:name="_Toc422346991"/>
      <w:bookmarkStart w:id="2" w:name="_Toc125194300"/>
      <w:bookmarkStart w:id="3" w:name="_Toc125222415"/>
      <w:bookmarkStart w:id="4" w:name="_Toc125227220"/>
      <w:r>
        <w:rPr>
          <w:rFonts w:ascii="Arial" w:hAnsi="Arial" w:cs="Arial"/>
          <w:b/>
          <w:bCs/>
          <w:sz w:val="28"/>
          <w:szCs w:val="28"/>
        </w:rPr>
        <w:t>Treatment</w:t>
      </w:r>
      <w:r w:rsidRPr="00A6244D">
        <w:rPr>
          <w:rFonts w:ascii="Arial" w:hAnsi="Arial" w:cs="Arial"/>
          <w:b/>
          <w:bCs/>
          <w:sz w:val="28"/>
          <w:szCs w:val="28"/>
        </w:rPr>
        <w:t xml:space="preserve"> BMPs</w:t>
      </w:r>
      <w:r w:rsidRPr="00A6244D">
        <w:rPr>
          <w:rFonts w:ascii="Arial" w:hAnsi="Arial" w:cs="Arial"/>
          <w:b/>
          <w:bCs/>
          <w:sz w:val="28"/>
          <w:szCs w:val="28"/>
        </w:rPr>
        <w:br/>
        <w:t xml:space="preserve">Checklist </w:t>
      </w:r>
      <w:r>
        <w:rPr>
          <w:rFonts w:ascii="Arial" w:hAnsi="Arial" w:cs="Arial"/>
          <w:b/>
          <w:bCs/>
          <w:sz w:val="28"/>
          <w:szCs w:val="28"/>
        </w:rPr>
        <w:t>T-1</w:t>
      </w:r>
      <w:r w:rsidRPr="00A6244D">
        <w:rPr>
          <w:rFonts w:ascii="Arial" w:hAnsi="Arial" w:cs="Arial"/>
          <w:b/>
          <w:bCs/>
          <w:sz w:val="28"/>
          <w:szCs w:val="28"/>
        </w:rPr>
        <w:t>, Part 1</w:t>
      </w:r>
      <w:r>
        <w:rPr>
          <w:rFonts w:ascii="Arial" w:hAnsi="Arial" w:cs="Arial"/>
          <w:b/>
          <w:bCs/>
          <w:sz w:val="28"/>
          <w:szCs w:val="28"/>
        </w:rPr>
        <w:t>1</w:t>
      </w:r>
    </w:p>
    <w:p w14:paraId="2C528070" w14:textId="77777777" w:rsidR="00A6244D" w:rsidRPr="00A6244D" w:rsidRDefault="00A6244D" w:rsidP="004F494D">
      <w:pPr>
        <w:pBdr>
          <w:top w:val="single" w:sz="4" w:space="1" w:color="auto"/>
          <w:left w:val="single" w:sz="4" w:space="4" w:color="auto"/>
          <w:bottom w:val="single" w:sz="4" w:space="1" w:color="auto"/>
          <w:right w:val="single" w:sz="4" w:space="4" w:color="auto"/>
        </w:pBdr>
        <w:spacing w:after="120" w:line="259" w:lineRule="auto"/>
        <w:rPr>
          <w:rFonts w:ascii="Arial" w:hAnsi="Arial" w:cs="Arial"/>
        </w:rPr>
      </w:pPr>
      <w:r w:rsidRPr="00A6244D">
        <w:rPr>
          <w:rFonts w:ascii="Arial" w:hAnsi="Arial" w:cs="Arial"/>
        </w:rPr>
        <w:t xml:space="preserve">Prepared by:  </w:t>
      </w:r>
      <w:r w:rsidRPr="00A6244D">
        <w:rPr>
          <w:rFonts w:ascii="Arial" w:hAnsi="Arial" w:cs="Arial"/>
          <w:u w:val="single"/>
        </w:rPr>
        <w:tab/>
      </w:r>
      <w:r w:rsidRPr="00A6244D">
        <w:rPr>
          <w:rFonts w:ascii="Arial" w:hAnsi="Arial" w:cs="Arial"/>
          <w:u w:val="single"/>
        </w:rPr>
        <w:tab/>
      </w:r>
      <w:r w:rsidRPr="00A6244D">
        <w:rPr>
          <w:rFonts w:ascii="Arial" w:hAnsi="Arial" w:cs="Arial"/>
        </w:rPr>
        <w:tab/>
        <w:t xml:space="preserve">Date:  </w:t>
      </w:r>
      <w:r w:rsidRPr="00A6244D">
        <w:rPr>
          <w:rFonts w:ascii="Arial" w:hAnsi="Arial" w:cs="Arial"/>
          <w:u w:val="single"/>
        </w:rPr>
        <w:tab/>
      </w:r>
      <w:r w:rsidRPr="00A6244D">
        <w:rPr>
          <w:rFonts w:ascii="Arial" w:hAnsi="Arial" w:cs="Arial"/>
          <w:u w:val="single"/>
        </w:rPr>
        <w:tab/>
      </w:r>
      <w:r w:rsidRPr="00A6244D">
        <w:rPr>
          <w:rFonts w:ascii="Arial" w:hAnsi="Arial" w:cs="Arial"/>
          <w:u w:val="single"/>
        </w:rPr>
        <w:tab/>
      </w:r>
      <w:r w:rsidRPr="00A6244D">
        <w:rPr>
          <w:rFonts w:ascii="Arial" w:hAnsi="Arial" w:cs="Arial"/>
          <w:u w:val="single"/>
        </w:rPr>
        <w:tab/>
      </w:r>
      <w:r w:rsidRPr="00A6244D">
        <w:rPr>
          <w:rFonts w:ascii="Arial" w:hAnsi="Arial" w:cs="Arial"/>
        </w:rPr>
        <w:tab/>
        <w:t xml:space="preserve">District-Co-Route:  </w:t>
      </w:r>
      <w:r w:rsidRPr="00A6244D">
        <w:rPr>
          <w:rFonts w:ascii="Arial" w:hAnsi="Arial" w:cs="Arial"/>
          <w:u w:val="single"/>
        </w:rPr>
        <w:tab/>
      </w:r>
      <w:r w:rsidRPr="00A6244D">
        <w:rPr>
          <w:rFonts w:ascii="Arial" w:hAnsi="Arial" w:cs="Arial"/>
          <w:u w:val="single"/>
        </w:rPr>
        <w:tab/>
      </w:r>
    </w:p>
    <w:p w14:paraId="74160C45" w14:textId="77777777" w:rsidR="00A6244D" w:rsidRPr="00A6244D" w:rsidRDefault="00A6244D" w:rsidP="004F494D">
      <w:pPr>
        <w:pBdr>
          <w:top w:val="single" w:sz="4" w:space="1" w:color="auto"/>
          <w:left w:val="single" w:sz="4" w:space="4" w:color="auto"/>
          <w:bottom w:val="single" w:sz="4" w:space="1" w:color="auto"/>
          <w:right w:val="single" w:sz="4" w:space="4" w:color="auto"/>
        </w:pBdr>
        <w:spacing w:after="120" w:line="259" w:lineRule="auto"/>
        <w:rPr>
          <w:rFonts w:ascii="Arial" w:hAnsi="Arial" w:cs="Arial"/>
        </w:rPr>
      </w:pPr>
      <w:r w:rsidRPr="00A6244D">
        <w:rPr>
          <w:rFonts w:ascii="Arial" w:hAnsi="Arial" w:cs="Arial"/>
        </w:rPr>
        <w:t xml:space="preserve">PM:  </w:t>
      </w:r>
      <w:r w:rsidRPr="00A6244D">
        <w:rPr>
          <w:rFonts w:ascii="Arial" w:hAnsi="Arial" w:cs="Arial"/>
          <w:u w:val="single"/>
        </w:rPr>
        <w:tab/>
      </w:r>
      <w:r w:rsidRPr="00A6244D">
        <w:rPr>
          <w:rFonts w:ascii="Arial" w:hAnsi="Arial" w:cs="Arial"/>
          <w:u w:val="single"/>
        </w:rPr>
        <w:tab/>
      </w:r>
      <w:r w:rsidRPr="00A6244D">
        <w:rPr>
          <w:rFonts w:ascii="Arial" w:hAnsi="Arial" w:cs="Arial"/>
          <w:u w:val="single"/>
        </w:rPr>
        <w:tab/>
      </w:r>
      <w:r w:rsidRPr="00A6244D">
        <w:rPr>
          <w:rFonts w:ascii="Arial" w:hAnsi="Arial" w:cs="Arial"/>
        </w:rPr>
        <w:tab/>
        <w:t xml:space="preserve">Project ID/EA:  </w:t>
      </w:r>
      <w:r w:rsidRPr="00A6244D">
        <w:rPr>
          <w:rFonts w:ascii="Arial" w:hAnsi="Arial" w:cs="Arial"/>
          <w:u w:val="single"/>
        </w:rPr>
        <w:tab/>
      </w:r>
      <w:r w:rsidRPr="00A6244D">
        <w:rPr>
          <w:rFonts w:ascii="Arial" w:hAnsi="Arial" w:cs="Arial"/>
          <w:u w:val="single"/>
        </w:rPr>
        <w:tab/>
      </w:r>
      <w:r w:rsidRPr="00A6244D">
        <w:rPr>
          <w:rFonts w:ascii="Arial" w:hAnsi="Arial" w:cs="Arial"/>
        </w:rPr>
        <w:tab/>
        <w:t xml:space="preserve">RWQCB:  </w:t>
      </w:r>
      <w:r w:rsidRPr="00A6244D">
        <w:rPr>
          <w:rFonts w:ascii="Arial" w:hAnsi="Arial" w:cs="Arial"/>
          <w:u w:val="single"/>
        </w:rPr>
        <w:tab/>
      </w:r>
      <w:r w:rsidRPr="00A6244D">
        <w:rPr>
          <w:rFonts w:ascii="Arial" w:hAnsi="Arial" w:cs="Arial"/>
          <w:u w:val="single"/>
        </w:rPr>
        <w:tab/>
      </w:r>
      <w:r w:rsidRPr="00A6244D">
        <w:rPr>
          <w:rFonts w:ascii="Arial" w:hAnsi="Arial" w:cs="Arial"/>
          <w:u w:val="single"/>
        </w:rPr>
        <w:tab/>
      </w:r>
    </w:p>
    <w:p w14:paraId="22DC885F" w14:textId="487DF6F8" w:rsidR="006568E5" w:rsidRPr="00E24424" w:rsidRDefault="00587852" w:rsidP="00E24424">
      <w:pPr>
        <w:tabs>
          <w:tab w:val="left" w:pos="7920"/>
          <w:tab w:val="right" w:pos="9360"/>
        </w:tabs>
        <w:spacing w:before="40" w:after="40"/>
        <w:ind w:right="1440"/>
        <w:rPr>
          <w:b/>
          <w:i/>
        </w:rPr>
      </w:pPr>
      <w:r w:rsidRPr="00E24424">
        <w:rPr>
          <w:b/>
          <w:i/>
        </w:rPr>
        <w:t>DPPIAs</w:t>
      </w:r>
    </w:p>
    <w:p w14:paraId="2DBEEF88" w14:textId="754937AC" w:rsidR="00A6244D" w:rsidRPr="00E24424" w:rsidRDefault="00A6244D" w:rsidP="00E24424">
      <w:pPr>
        <w:tabs>
          <w:tab w:val="left" w:pos="7920"/>
          <w:tab w:val="right" w:pos="9360"/>
        </w:tabs>
        <w:spacing w:before="40" w:after="40"/>
        <w:ind w:right="1440"/>
        <w:rPr>
          <w:b/>
          <w:bCs/>
          <w:i/>
          <w:iCs/>
          <w:u w:val="single"/>
        </w:rPr>
      </w:pPr>
      <w:r w:rsidRPr="00E24424">
        <w:rPr>
          <w:b/>
          <w:bCs/>
          <w:i/>
          <w:iCs/>
          <w:u w:val="single"/>
        </w:rPr>
        <w:t>Feasibility</w:t>
      </w:r>
      <w:r w:rsidR="00451188" w:rsidRPr="00E24424">
        <w:rPr>
          <w:rStyle w:val="FootnoteReference"/>
          <w:b/>
          <w:bCs/>
          <w:i/>
          <w:iCs/>
          <w:u w:val="single"/>
        </w:rPr>
        <w:footnoteReference w:id="2"/>
      </w:r>
    </w:p>
    <w:p w14:paraId="10F8113F" w14:textId="0E229C75" w:rsidR="00A6244D" w:rsidRPr="00E24424" w:rsidRDefault="00A6244D" w:rsidP="00E24424">
      <w:pPr>
        <w:pStyle w:val="ListParagraph"/>
        <w:numPr>
          <w:ilvl w:val="0"/>
          <w:numId w:val="84"/>
        </w:numPr>
        <w:tabs>
          <w:tab w:val="left" w:pos="7920"/>
        </w:tabs>
        <w:spacing w:before="40" w:after="40"/>
        <w:ind w:left="360" w:right="2160"/>
        <w:contextualSpacing w:val="0"/>
      </w:pPr>
      <w:r w:rsidRPr="00E24424">
        <w:t xml:space="preserve">Does </w:t>
      </w:r>
      <w:r w:rsidRPr="00474650">
        <w:t>local</w:t>
      </w:r>
      <w:r w:rsidRPr="00E24424">
        <w:t xml:space="preserve"> Basin Plan or other local ordinance provide influent limits on quality of water that can be infiltrated, and would infiltration pose a threat to groundwater quality?</w:t>
      </w:r>
      <w:r w:rsidRPr="00E24424">
        <w:rPr>
          <w:rFonts w:ascii="Arial" w:hAnsi="Arial" w:cs="Arial"/>
          <w:bCs/>
        </w:rPr>
        <w:tab/>
      </w:r>
      <w:r w:rsidRPr="00E24424">
        <w:fldChar w:fldCharType="begin">
          <w:ffData>
            <w:name w:val=""/>
            <w:enabled/>
            <w:calcOnExit w:val="0"/>
            <w:checkBox>
              <w:sizeAuto/>
              <w:default w:val="0"/>
              <w:checked w:val="0"/>
            </w:checkBox>
          </w:ffData>
        </w:fldChar>
      </w:r>
      <w:r w:rsidRPr="00E24424">
        <w:instrText xml:space="preserve"> FORMCHECKBOX </w:instrText>
      </w:r>
      <w:r w:rsidR="00474650">
        <w:fldChar w:fldCharType="separate"/>
      </w:r>
      <w:r w:rsidRPr="00E24424">
        <w:fldChar w:fldCharType="end"/>
      </w:r>
      <w:r w:rsidRPr="00E24424">
        <w:t xml:space="preserve"> Yes  </w:t>
      </w:r>
      <w:r w:rsidRPr="00E24424">
        <w:fldChar w:fldCharType="begin">
          <w:ffData>
            <w:name w:val=""/>
            <w:enabled/>
            <w:calcOnExit w:val="0"/>
            <w:checkBox>
              <w:sizeAuto/>
              <w:default w:val="0"/>
              <w:checked w:val="0"/>
            </w:checkBox>
          </w:ffData>
        </w:fldChar>
      </w:r>
      <w:r w:rsidRPr="00E24424">
        <w:instrText xml:space="preserve"> FORMCHECKBOX </w:instrText>
      </w:r>
      <w:r w:rsidR="00474650">
        <w:fldChar w:fldCharType="separate"/>
      </w:r>
      <w:r w:rsidRPr="00E24424">
        <w:fldChar w:fldCharType="end"/>
      </w:r>
      <w:r w:rsidRPr="00E24424">
        <w:t xml:space="preserve"> No</w:t>
      </w:r>
    </w:p>
    <w:p w14:paraId="51590817" w14:textId="2F21E07E" w:rsidR="00A6244D" w:rsidRPr="00E24424" w:rsidRDefault="00A6244D" w:rsidP="00E24424">
      <w:pPr>
        <w:pStyle w:val="ListParagraph"/>
        <w:numPr>
          <w:ilvl w:val="0"/>
          <w:numId w:val="84"/>
        </w:numPr>
        <w:tabs>
          <w:tab w:val="left" w:pos="7920"/>
        </w:tabs>
        <w:spacing w:before="40" w:after="40"/>
        <w:ind w:left="360" w:right="2160"/>
        <w:contextualSpacing w:val="0"/>
      </w:pPr>
      <w:r w:rsidRPr="00E24424">
        <w:t>Does infiltration at the site compromise the integrity of any slopes in the area?</w:t>
      </w:r>
      <w:r w:rsidRPr="00E24424">
        <w:rPr>
          <w:rFonts w:ascii="Arial" w:hAnsi="Arial" w:cs="Arial"/>
          <w:bCs/>
        </w:rPr>
        <w:tab/>
      </w:r>
      <w:r w:rsidRPr="00E24424">
        <w:fldChar w:fldCharType="begin">
          <w:ffData>
            <w:name w:val=""/>
            <w:enabled/>
            <w:calcOnExit w:val="0"/>
            <w:checkBox>
              <w:sizeAuto/>
              <w:default w:val="0"/>
              <w:checked w:val="0"/>
            </w:checkBox>
          </w:ffData>
        </w:fldChar>
      </w:r>
      <w:r w:rsidRPr="00E24424">
        <w:instrText xml:space="preserve"> FORMCHECKBOX </w:instrText>
      </w:r>
      <w:r w:rsidR="00474650">
        <w:fldChar w:fldCharType="separate"/>
      </w:r>
      <w:r w:rsidRPr="00E24424">
        <w:fldChar w:fldCharType="end"/>
      </w:r>
      <w:r w:rsidRPr="00E24424">
        <w:t xml:space="preserve"> Yes  </w:t>
      </w:r>
      <w:r w:rsidRPr="00E24424">
        <w:fldChar w:fldCharType="begin">
          <w:ffData>
            <w:name w:val=""/>
            <w:enabled/>
            <w:calcOnExit w:val="0"/>
            <w:checkBox>
              <w:sizeAuto/>
              <w:default w:val="0"/>
              <w:checked w:val="0"/>
            </w:checkBox>
          </w:ffData>
        </w:fldChar>
      </w:r>
      <w:r w:rsidRPr="00E24424">
        <w:instrText xml:space="preserve"> FORMCHECKBOX </w:instrText>
      </w:r>
      <w:r w:rsidR="00474650">
        <w:fldChar w:fldCharType="separate"/>
      </w:r>
      <w:r w:rsidRPr="00E24424">
        <w:fldChar w:fldCharType="end"/>
      </w:r>
      <w:r w:rsidRPr="00E24424">
        <w:t xml:space="preserve"> No</w:t>
      </w:r>
    </w:p>
    <w:p w14:paraId="63785191" w14:textId="20CDB9E0" w:rsidR="00A6244D" w:rsidRPr="00E24424" w:rsidRDefault="00A6244D" w:rsidP="00E24424">
      <w:pPr>
        <w:pStyle w:val="ListParagraph"/>
        <w:tabs>
          <w:tab w:val="left" w:pos="7920"/>
        </w:tabs>
        <w:spacing w:before="40" w:after="40"/>
        <w:ind w:left="360" w:right="2160"/>
        <w:contextualSpacing w:val="0"/>
      </w:pPr>
      <w:r w:rsidRPr="00E24424">
        <w:t>If “Yes” to any question above, DPPIAs are not feasible; stop here and consider other approved Treatment BMPs.</w:t>
      </w:r>
    </w:p>
    <w:p w14:paraId="47482A65" w14:textId="77777777" w:rsidR="004741C3" w:rsidRPr="00E24424" w:rsidRDefault="00A6244D" w:rsidP="00E24424">
      <w:pPr>
        <w:pStyle w:val="ListParagraph"/>
        <w:numPr>
          <w:ilvl w:val="0"/>
          <w:numId w:val="84"/>
        </w:numPr>
        <w:tabs>
          <w:tab w:val="left" w:pos="7920"/>
        </w:tabs>
        <w:spacing w:before="40" w:after="40"/>
        <w:ind w:left="360" w:right="2160"/>
        <w:contextualSpacing w:val="0"/>
      </w:pPr>
      <w:r w:rsidRPr="00E24424">
        <w:t>Are DPPIAs proposed at sites where known contaminated soils or groundwater plumes exist?</w:t>
      </w:r>
      <w:r w:rsidR="00451188" w:rsidRPr="00E24424">
        <w:rPr>
          <w:rFonts w:ascii="Arial" w:hAnsi="Arial" w:cs="Arial"/>
          <w:bCs/>
        </w:rPr>
        <w:t xml:space="preserve"> </w:t>
      </w:r>
      <w:r w:rsidR="00451188" w:rsidRPr="00E24424">
        <w:rPr>
          <w:rFonts w:ascii="Arial" w:hAnsi="Arial" w:cs="Arial"/>
          <w:bCs/>
        </w:rPr>
        <w:tab/>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451188" w:rsidRPr="00E24424">
        <w:t xml:space="preserve"> Yes  </w:t>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451188" w:rsidRPr="00E24424">
        <w:t xml:space="preserve"> No</w:t>
      </w:r>
    </w:p>
    <w:p w14:paraId="2114EFE5" w14:textId="368F4979" w:rsidR="00A6244D" w:rsidRPr="00E24424" w:rsidRDefault="00A6244D" w:rsidP="00E24424">
      <w:pPr>
        <w:pStyle w:val="ListParagraph"/>
        <w:tabs>
          <w:tab w:val="left" w:pos="7920"/>
        </w:tabs>
        <w:spacing w:before="40" w:after="40"/>
        <w:ind w:left="360" w:right="1440"/>
        <w:contextualSpacing w:val="0"/>
      </w:pPr>
      <w:r w:rsidRPr="00E24424">
        <w:t>If “Yes”, consult with District/Regional NPDES Coordinator about how to proceed.</w:t>
      </w:r>
    </w:p>
    <w:p w14:paraId="3B43DD96" w14:textId="62ECE555" w:rsidR="00A6244D" w:rsidRPr="00E24424" w:rsidRDefault="00A6244D" w:rsidP="00E24424">
      <w:pPr>
        <w:pStyle w:val="ListParagraph"/>
        <w:numPr>
          <w:ilvl w:val="0"/>
          <w:numId w:val="84"/>
        </w:numPr>
        <w:tabs>
          <w:tab w:val="left" w:pos="7920"/>
        </w:tabs>
        <w:spacing w:before="40" w:after="40"/>
        <w:ind w:left="360" w:right="2160"/>
        <w:contextualSpacing w:val="0"/>
      </w:pPr>
      <w:r w:rsidRPr="00E24424">
        <w:t>If adequate area cannot be obtained, document in Section 6 of the SWDR that the inability to obtain adequate area prevents the incorporation of these Treatment BMPs into the project.</w:t>
      </w:r>
      <w:r w:rsidR="00451188" w:rsidRPr="00E24424">
        <w:rPr>
          <w:rFonts w:ascii="Arial" w:hAnsi="Arial" w:cs="Arial"/>
          <w:bCs/>
        </w:rPr>
        <w:tab/>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451188" w:rsidRPr="00E24424">
        <w:t xml:space="preserve"> Complete</w:t>
      </w:r>
    </w:p>
    <w:p w14:paraId="3598A294" w14:textId="77777777" w:rsidR="00A6244D" w:rsidRPr="00E24424" w:rsidRDefault="00A6244D" w:rsidP="00E24424">
      <w:pPr>
        <w:tabs>
          <w:tab w:val="left" w:pos="7920"/>
        </w:tabs>
        <w:spacing w:before="40" w:after="40"/>
        <w:ind w:right="1440"/>
        <w:rPr>
          <w:b/>
          <w:bCs/>
          <w:i/>
          <w:iCs/>
          <w:u w:val="single"/>
        </w:rPr>
      </w:pPr>
      <w:r w:rsidRPr="00E24424">
        <w:rPr>
          <w:b/>
          <w:bCs/>
          <w:i/>
          <w:iCs/>
          <w:u w:val="single"/>
        </w:rPr>
        <w:t>Design Elements</w:t>
      </w:r>
    </w:p>
    <w:p w14:paraId="3BA1CE80" w14:textId="77777777" w:rsidR="00A6244D" w:rsidRPr="00E24424" w:rsidRDefault="00A6244D" w:rsidP="00E24424">
      <w:pPr>
        <w:spacing w:before="40" w:after="40"/>
      </w:pPr>
      <w:r w:rsidRPr="00E24424">
        <w:rPr>
          <w:b/>
          <w:bCs/>
        </w:rPr>
        <w:t>* Required Design Element</w:t>
      </w:r>
      <w:r w:rsidRPr="00E24424">
        <w:t xml:space="preserve"> – A “Yes” response to these questions is required to further the consideration of this BMP into the project design. Document a “No” response in Section 6 of the SWDR to describe why this Treatment BMP cannot be included into the project design. </w:t>
      </w:r>
    </w:p>
    <w:p w14:paraId="497BC9F5" w14:textId="77777777" w:rsidR="00A6244D" w:rsidRPr="00E24424" w:rsidRDefault="00A6244D" w:rsidP="00E24424">
      <w:pPr>
        <w:spacing w:before="40" w:after="40"/>
      </w:pPr>
      <w:r w:rsidRPr="00E24424">
        <w:rPr>
          <w:b/>
          <w:bCs/>
        </w:rPr>
        <w:t>** Recommended Design Element</w:t>
      </w:r>
      <w:r w:rsidRPr="00E24424">
        <w:t xml:space="preserve"> – A “Yes” response is preferred for these questions, but not required for incorporation into a project design.</w:t>
      </w:r>
    </w:p>
    <w:p w14:paraId="2CFFA475" w14:textId="27DD5D58" w:rsidR="00A6244D" w:rsidRPr="00E24424" w:rsidRDefault="00A6244D" w:rsidP="00E24424">
      <w:pPr>
        <w:pStyle w:val="ListParagraph"/>
        <w:numPr>
          <w:ilvl w:val="0"/>
          <w:numId w:val="114"/>
        </w:numPr>
        <w:tabs>
          <w:tab w:val="left" w:pos="7920"/>
        </w:tabs>
        <w:spacing w:before="40" w:after="40"/>
        <w:ind w:left="360" w:right="2160"/>
        <w:contextualSpacing w:val="0"/>
      </w:pPr>
      <w:r w:rsidRPr="00E24424">
        <w:t>Has native soil gradation and infiltration rate been determined (see Design Guidance for more detail)? (Must be completed for PS&amp;E level design.) *</w:t>
      </w:r>
      <w:r w:rsidR="00451188" w:rsidRPr="00E24424">
        <w:rPr>
          <w:rFonts w:ascii="Arial" w:hAnsi="Arial" w:cs="Arial"/>
          <w:bCs/>
        </w:rPr>
        <w:tab/>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451188" w:rsidRPr="00E24424">
        <w:t xml:space="preserve"> Yes  </w:t>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451188" w:rsidRPr="00E24424">
        <w:t xml:space="preserve"> No</w:t>
      </w:r>
    </w:p>
    <w:p w14:paraId="6654D7EC" w14:textId="105DB596" w:rsidR="00A6244D" w:rsidRPr="00E24424" w:rsidRDefault="00A6244D" w:rsidP="00E24424">
      <w:pPr>
        <w:pStyle w:val="ListParagraph"/>
        <w:numPr>
          <w:ilvl w:val="0"/>
          <w:numId w:val="114"/>
        </w:numPr>
        <w:tabs>
          <w:tab w:val="left" w:pos="7920"/>
        </w:tabs>
        <w:spacing w:before="40" w:after="40"/>
        <w:ind w:left="360" w:right="2160"/>
        <w:contextualSpacing w:val="0"/>
      </w:pPr>
      <w:r w:rsidRPr="00E24424">
        <w:t>Has the infiltration rate of the DPPIA been calculated and maximized through amendments where appropriate? **</w:t>
      </w:r>
      <w:r w:rsidR="00451188" w:rsidRPr="00E24424">
        <w:tab/>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451188" w:rsidRPr="00E24424">
        <w:t xml:space="preserve"> Yes  </w:t>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7C5FF0" w:rsidRPr="00E24424">
        <w:t xml:space="preserve"> No</w:t>
      </w:r>
    </w:p>
    <w:p w14:paraId="5FEC5425" w14:textId="0582771A" w:rsidR="00A6244D" w:rsidRPr="00E24424" w:rsidRDefault="00A6244D" w:rsidP="00E24424">
      <w:pPr>
        <w:pStyle w:val="ListParagraph"/>
        <w:tabs>
          <w:tab w:val="left" w:pos="7920"/>
        </w:tabs>
        <w:spacing w:before="40" w:after="40"/>
        <w:ind w:left="360" w:right="2160"/>
        <w:contextualSpacing w:val="0"/>
      </w:pPr>
      <w:r w:rsidRPr="00E24424">
        <w:t>If yes and soil amendments are proposed within the CRZ, validate that the amendment can be structurally compacted and still provide enhanced infiltration.</w:t>
      </w:r>
      <w:r w:rsidR="00451188" w:rsidRPr="00E24424">
        <w:rPr>
          <w:rFonts w:ascii="Arial" w:hAnsi="Arial" w:cs="Arial"/>
          <w:bCs/>
        </w:rPr>
        <w:t xml:space="preserve"> </w:t>
      </w:r>
      <w:r w:rsidR="00451188" w:rsidRPr="00E24424">
        <w:rPr>
          <w:rFonts w:ascii="Arial" w:hAnsi="Arial" w:cs="Arial"/>
          <w:bCs/>
        </w:rPr>
        <w:tab/>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451188" w:rsidRPr="00E24424">
        <w:t xml:space="preserve"> Complete</w:t>
      </w:r>
    </w:p>
    <w:p w14:paraId="25CB98FF" w14:textId="043838CD" w:rsidR="00A6244D" w:rsidRPr="00E24424" w:rsidRDefault="00A6244D" w:rsidP="00E24424">
      <w:pPr>
        <w:pStyle w:val="ListParagraph"/>
        <w:numPr>
          <w:ilvl w:val="0"/>
          <w:numId w:val="114"/>
        </w:numPr>
        <w:tabs>
          <w:tab w:val="left" w:pos="7920"/>
        </w:tabs>
        <w:spacing w:before="40" w:after="40"/>
        <w:ind w:left="360" w:right="2160"/>
        <w:contextualSpacing w:val="0"/>
      </w:pPr>
      <w:r w:rsidRPr="00E24424">
        <w:t>Is the DPPIA capacity sufficient to capture the WQV, or portion thereof **</w:t>
      </w:r>
      <w:r w:rsidR="00451188" w:rsidRPr="00E24424">
        <w:rPr>
          <w:rFonts w:ascii="Arial" w:hAnsi="Arial" w:cs="Arial"/>
          <w:bCs/>
        </w:rPr>
        <w:tab/>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451188" w:rsidRPr="00E24424">
        <w:t xml:space="preserve"> Yes  </w:t>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451188" w:rsidRPr="00E24424">
        <w:t xml:space="preserve"> No</w:t>
      </w:r>
    </w:p>
    <w:p w14:paraId="0E201775" w14:textId="77777777" w:rsidR="005D1435" w:rsidRPr="00E24424" w:rsidRDefault="00A6244D" w:rsidP="00E24424">
      <w:pPr>
        <w:pStyle w:val="ListParagraph"/>
        <w:tabs>
          <w:tab w:val="left" w:pos="7920"/>
        </w:tabs>
        <w:spacing w:before="40" w:after="40"/>
        <w:ind w:left="360" w:right="2160"/>
        <w:contextualSpacing w:val="0"/>
      </w:pPr>
      <w:r w:rsidRPr="00E24424">
        <w:t>If “No”, document the percentage and amount of the WQV captured.</w:t>
      </w:r>
      <w:r w:rsidR="00451188" w:rsidRPr="00E24424">
        <w:rPr>
          <w:rFonts w:ascii="Arial" w:hAnsi="Arial" w:cs="Arial"/>
          <w:bCs/>
        </w:rPr>
        <w:t xml:space="preserve"> </w:t>
      </w:r>
      <w:r w:rsidR="00451188" w:rsidRPr="00E24424">
        <w:rPr>
          <w:rFonts w:ascii="Arial" w:hAnsi="Arial" w:cs="Arial"/>
          <w:bCs/>
        </w:rPr>
        <w:tab/>
      </w:r>
      <w:r w:rsidR="005D1435" w:rsidRPr="00E24424">
        <w:fldChar w:fldCharType="begin">
          <w:ffData>
            <w:name w:val=""/>
            <w:enabled/>
            <w:calcOnExit w:val="0"/>
            <w:checkBox>
              <w:sizeAuto/>
              <w:default w:val="0"/>
              <w:checked w:val="0"/>
            </w:checkBox>
          </w:ffData>
        </w:fldChar>
      </w:r>
      <w:r w:rsidR="005D1435" w:rsidRPr="00E24424">
        <w:instrText xml:space="preserve"> FORMCHECKBOX </w:instrText>
      </w:r>
      <w:r w:rsidR="00474650">
        <w:fldChar w:fldCharType="separate"/>
      </w:r>
      <w:r w:rsidR="005D1435" w:rsidRPr="00E24424">
        <w:fldChar w:fldCharType="end"/>
      </w:r>
      <w:r w:rsidR="005D1435" w:rsidRPr="00E24424">
        <w:t xml:space="preserve"> Complete</w:t>
      </w:r>
    </w:p>
    <w:p w14:paraId="748E8875" w14:textId="0030AA17" w:rsidR="00A6244D" w:rsidRPr="00E24424" w:rsidRDefault="00A6244D" w:rsidP="00E24424">
      <w:pPr>
        <w:pStyle w:val="ListParagraph"/>
        <w:numPr>
          <w:ilvl w:val="0"/>
          <w:numId w:val="114"/>
        </w:numPr>
        <w:tabs>
          <w:tab w:val="left" w:pos="7920"/>
        </w:tabs>
        <w:spacing w:before="40" w:after="40"/>
        <w:ind w:left="360" w:right="2160"/>
        <w:contextualSpacing w:val="0"/>
      </w:pPr>
      <w:r w:rsidRPr="00E24424">
        <w:t xml:space="preserve">Is a surface reinforcing material required? </w:t>
      </w:r>
      <w:r w:rsidR="00451188" w:rsidRPr="00E24424">
        <w:rPr>
          <w:rFonts w:ascii="Arial" w:hAnsi="Arial" w:cs="Arial"/>
          <w:bCs/>
        </w:rPr>
        <w:tab/>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451188" w:rsidRPr="00E24424">
        <w:t xml:space="preserve"> Yes  </w:t>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451188" w:rsidRPr="00E24424">
        <w:t xml:space="preserve"> No</w:t>
      </w:r>
    </w:p>
    <w:p w14:paraId="125D9F78" w14:textId="5174D9BA" w:rsidR="00646015" w:rsidRPr="0007739E" w:rsidRDefault="00A6244D" w:rsidP="0007739E">
      <w:pPr>
        <w:pStyle w:val="ListParagraph"/>
        <w:tabs>
          <w:tab w:val="left" w:pos="7920"/>
        </w:tabs>
        <w:spacing w:before="40" w:after="40"/>
        <w:ind w:left="360" w:right="2160"/>
        <w:contextualSpacing w:val="0"/>
      </w:pPr>
      <w:r w:rsidRPr="00E24424">
        <w:t>If “Yes”, select material based on the permissible shear and velocity (refer to HDM Chapter 860 and Table 865.2).*</w:t>
      </w:r>
      <w:r w:rsidR="00451188" w:rsidRPr="00E24424">
        <w:rPr>
          <w:rFonts w:ascii="Arial" w:hAnsi="Arial" w:cs="Arial"/>
          <w:bCs/>
        </w:rPr>
        <w:t xml:space="preserve"> </w:t>
      </w:r>
      <w:r w:rsidR="00451188" w:rsidRPr="00E24424">
        <w:rPr>
          <w:rFonts w:ascii="Arial" w:hAnsi="Arial" w:cs="Arial"/>
          <w:bCs/>
        </w:rPr>
        <w:tab/>
      </w:r>
      <w:r w:rsidR="00451188" w:rsidRPr="00E24424">
        <w:fldChar w:fldCharType="begin">
          <w:ffData>
            <w:name w:val=""/>
            <w:enabled/>
            <w:calcOnExit w:val="0"/>
            <w:checkBox>
              <w:sizeAuto/>
              <w:default w:val="0"/>
              <w:checked w:val="0"/>
            </w:checkBox>
          </w:ffData>
        </w:fldChar>
      </w:r>
      <w:r w:rsidR="00451188" w:rsidRPr="00E24424">
        <w:instrText xml:space="preserve"> FORMCHECKBOX </w:instrText>
      </w:r>
      <w:r w:rsidR="00474650">
        <w:fldChar w:fldCharType="separate"/>
      </w:r>
      <w:r w:rsidR="00451188" w:rsidRPr="00E24424">
        <w:fldChar w:fldCharType="end"/>
      </w:r>
      <w:r w:rsidR="00451188" w:rsidRPr="00E24424">
        <w:t xml:space="preserve"> Complete</w:t>
      </w:r>
      <w:bookmarkEnd w:id="1"/>
      <w:bookmarkEnd w:id="2"/>
      <w:bookmarkEnd w:id="3"/>
      <w:bookmarkEnd w:id="4"/>
    </w:p>
    <w:sectPr w:rsidR="00646015" w:rsidRPr="0007739E" w:rsidSect="0007739E">
      <w:headerReference w:type="default" r:id="rId8"/>
      <w:footerReference w:type="default" r:id="rId9"/>
      <w:headerReference w:type="first" r:id="rId10"/>
      <w:footnotePr>
        <w:numRestart w:val="eachSect"/>
      </w:footnotePr>
      <w:pgSz w:w="12240" w:h="15840" w:code="1"/>
      <w:pgMar w:top="1526" w:right="1440" w:bottom="1296" w:left="1440" w:header="720" w:footer="432" w:gutter="0"/>
      <w:pgNumType w:start="1" w:chapStyle="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272D" w14:textId="77777777" w:rsidR="00386FA0" w:rsidRDefault="00386FA0">
      <w:r>
        <w:separator/>
      </w:r>
    </w:p>
    <w:p w14:paraId="7E7BC728" w14:textId="77777777" w:rsidR="00386FA0" w:rsidRDefault="00386FA0"/>
    <w:p w14:paraId="6D943341" w14:textId="77777777" w:rsidR="00386FA0" w:rsidRDefault="00386FA0"/>
  </w:endnote>
  <w:endnote w:type="continuationSeparator" w:id="0">
    <w:p w14:paraId="4E75063B" w14:textId="77777777" w:rsidR="00386FA0" w:rsidRDefault="00386FA0">
      <w:r>
        <w:continuationSeparator/>
      </w:r>
    </w:p>
    <w:p w14:paraId="7A7CD933" w14:textId="77777777" w:rsidR="00386FA0" w:rsidRDefault="00386FA0"/>
    <w:p w14:paraId="22A57C94" w14:textId="77777777" w:rsidR="00386FA0" w:rsidRDefault="00386FA0"/>
  </w:endnote>
  <w:endnote w:type="continuationNotice" w:id="1">
    <w:p w14:paraId="0C9BC76B" w14:textId="77777777" w:rsidR="00386FA0" w:rsidRDefault="00386F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A50A7FD3-1C17-4D90-8578-2E477B1C30A4}"/>
    <w:embedBold r:id="rId2" w:fontKey="{8B4EF7B6-A31A-4251-AA8F-BCEC588C4F2A}"/>
    <w:embedItalic r:id="rId3" w:fontKey="{95E6BB07-E461-4635-BC35-7D39EEBC826A}"/>
    <w:embedBoldItalic r:id="rId4" w:fontKey="{1DB1EAB1-F414-4D70-8C72-FA16B09855F4}"/>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D47" w14:textId="332EF2E4" w:rsidR="7751B691" w:rsidRPr="0007739E" w:rsidRDefault="0007739E" w:rsidP="0007739E">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886B" w14:textId="77777777" w:rsidR="00386FA0" w:rsidRDefault="00386FA0">
      <w:bookmarkStart w:id="0" w:name="_Hlk131594259"/>
      <w:bookmarkEnd w:id="0"/>
      <w:r>
        <w:separator/>
      </w:r>
    </w:p>
  </w:footnote>
  <w:footnote w:type="continuationSeparator" w:id="0">
    <w:p w14:paraId="6B80435B" w14:textId="77777777" w:rsidR="00386FA0" w:rsidRDefault="00386FA0">
      <w:r>
        <w:continuationSeparator/>
      </w:r>
    </w:p>
    <w:p w14:paraId="32A4F7DD" w14:textId="77777777" w:rsidR="00386FA0" w:rsidRDefault="00386FA0"/>
    <w:p w14:paraId="7DC5B239" w14:textId="77777777" w:rsidR="00386FA0" w:rsidRDefault="00386FA0"/>
  </w:footnote>
  <w:footnote w:type="continuationNotice" w:id="1">
    <w:p w14:paraId="24DFDA76" w14:textId="77777777" w:rsidR="00386FA0" w:rsidRDefault="00386FA0">
      <w:pPr>
        <w:spacing w:before="0" w:after="0"/>
      </w:pPr>
    </w:p>
  </w:footnote>
  <w:footnote w:id="2">
    <w:p w14:paraId="14E9A990" w14:textId="0A690CA4" w:rsidR="00451188" w:rsidRDefault="00451188">
      <w:pPr>
        <w:pStyle w:val="FootnoteText"/>
      </w:pPr>
      <w:r>
        <w:rPr>
          <w:rStyle w:val="FootnoteReference"/>
        </w:rPr>
        <w:footnoteRef/>
      </w:r>
      <w:r>
        <w:t xml:space="preserve"> This feasibility evaluation is applicable to areas that are being modified for infiltration as part of the project treatment strategy. For existing areas within the project limits that are being delineated as DPPIAs, proceed to the Design Elements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F5C9" w14:textId="1D07987A" w:rsidR="0007739E" w:rsidRPr="005B1958" w:rsidRDefault="0007739E" w:rsidP="0007739E">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w:t>
    </w:r>
    <w:r w:rsidR="00474650">
      <w:rPr>
        <w:rFonts w:eastAsia="Calibri" w:cs="Times New Roman"/>
        <w:b/>
        <w:i/>
        <w:color w:val="3F6EA7"/>
        <w:sz w:val="24"/>
        <w:szCs w:val="28"/>
      </w:rPr>
      <w:t>hecklist T-1, Part 11</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8230" w14:textId="46C14A01" w:rsidR="0007739E" w:rsidRPr="0007739E" w:rsidRDefault="0007739E" w:rsidP="0007739E">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Construction Site BMP Consideration Form</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39E"/>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D50"/>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6FA0"/>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650"/>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81"/>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3F"/>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39E"/>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4</cp:revision>
  <cp:lastPrinted>2023-06-21T16:18:00Z</cp:lastPrinted>
  <dcterms:created xsi:type="dcterms:W3CDTF">2023-07-07T21:06:00Z</dcterms:created>
  <dcterms:modified xsi:type="dcterms:W3CDTF">2023-07-18T15:52:00Z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