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0BE7" w14:textId="67597DBD" w:rsidR="00F80899" w:rsidRPr="0084602A" w:rsidRDefault="00F80899" w:rsidP="00F80899">
      <w:pPr>
        <w:keepNext/>
        <w:keepLines/>
        <w:pBdr>
          <w:top w:val="single" w:sz="4" w:space="1" w:color="auto"/>
          <w:left w:val="single" w:sz="4" w:space="4" w:color="auto"/>
          <w:bottom w:val="single" w:sz="4" w:space="1" w:color="auto"/>
          <w:right w:val="single" w:sz="4" w:space="4" w:color="auto"/>
        </w:pBdr>
        <w:spacing w:line="259" w:lineRule="auto"/>
        <w:jc w:val="center"/>
        <w:rPr>
          <w:rFonts w:cs="Arial"/>
          <w:b/>
          <w:bCs/>
          <w:sz w:val="28"/>
          <w:szCs w:val="28"/>
        </w:rPr>
      </w:pPr>
      <w:bookmarkStart w:id="1" w:name="_Toc6656451"/>
      <w:bookmarkStart w:id="2" w:name="_Toc125194335"/>
      <w:bookmarkStart w:id="3" w:name="_Toc125222450"/>
      <w:bookmarkStart w:id="4" w:name="_Toc125227255"/>
      <w:r w:rsidRPr="0084602A">
        <w:rPr>
          <w:rFonts w:cs="Arial"/>
          <w:b/>
          <w:bCs/>
          <w:sz w:val="28"/>
          <w:szCs w:val="28"/>
        </w:rPr>
        <w:t>Treatment BMPs</w:t>
      </w:r>
      <w:r w:rsidRPr="0084602A">
        <w:rPr>
          <w:rFonts w:cs="Arial"/>
          <w:b/>
          <w:bCs/>
          <w:sz w:val="28"/>
          <w:szCs w:val="28"/>
        </w:rPr>
        <w:br/>
        <w:t>Checklist T-1, Part 6</w:t>
      </w:r>
    </w:p>
    <w:p w14:paraId="23826527" w14:textId="77777777" w:rsidR="00F80899" w:rsidRPr="0084602A" w:rsidRDefault="00F80899" w:rsidP="00E16A8D">
      <w:pPr>
        <w:keepNext/>
        <w:keepLines/>
        <w:pBdr>
          <w:top w:val="single" w:sz="4" w:space="1" w:color="auto"/>
          <w:left w:val="single" w:sz="4" w:space="4" w:color="auto"/>
          <w:bottom w:val="single" w:sz="4" w:space="1" w:color="auto"/>
          <w:right w:val="single" w:sz="4" w:space="4" w:color="auto"/>
        </w:pBdr>
        <w:spacing w:after="120" w:line="259" w:lineRule="auto"/>
        <w:rPr>
          <w:rFonts w:cs="Arial"/>
        </w:rPr>
      </w:pPr>
      <w:r w:rsidRPr="0084602A">
        <w:rPr>
          <w:rFonts w:cs="Arial"/>
        </w:rPr>
        <w:t xml:space="preserve">Prepared by:  </w:t>
      </w:r>
      <w:r w:rsidRPr="0084602A">
        <w:rPr>
          <w:rFonts w:cs="Arial"/>
          <w:u w:val="single"/>
        </w:rPr>
        <w:tab/>
      </w:r>
      <w:r w:rsidRPr="0084602A">
        <w:rPr>
          <w:rFonts w:cs="Arial"/>
          <w:u w:val="single"/>
        </w:rPr>
        <w:tab/>
      </w:r>
      <w:r w:rsidRPr="0084602A">
        <w:rPr>
          <w:rFonts w:cs="Arial"/>
        </w:rPr>
        <w:tab/>
        <w:t xml:space="preserve">Date:  </w:t>
      </w:r>
      <w:r w:rsidRPr="0084602A">
        <w:rPr>
          <w:rFonts w:cs="Arial"/>
          <w:u w:val="single"/>
        </w:rPr>
        <w:tab/>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District-Co-Route:  </w:t>
      </w:r>
      <w:r w:rsidRPr="0084602A">
        <w:rPr>
          <w:rFonts w:cs="Arial"/>
          <w:u w:val="single"/>
        </w:rPr>
        <w:tab/>
      </w:r>
      <w:r w:rsidRPr="0084602A">
        <w:rPr>
          <w:rFonts w:cs="Arial"/>
          <w:u w:val="single"/>
        </w:rPr>
        <w:tab/>
      </w:r>
    </w:p>
    <w:p w14:paraId="5C6F408A" w14:textId="41C41A19" w:rsidR="00F80899" w:rsidRPr="0084602A" w:rsidRDefault="00F80899" w:rsidP="00E16A8D">
      <w:pPr>
        <w:keepNext/>
        <w:keepLines/>
        <w:pBdr>
          <w:top w:val="single" w:sz="4" w:space="1" w:color="auto"/>
          <w:left w:val="single" w:sz="4" w:space="4" w:color="auto"/>
          <w:bottom w:val="single" w:sz="4" w:space="1" w:color="auto"/>
          <w:right w:val="single" w:sz="4" w:space="4" w:color="auto"/>
        </w:pBdr>
        <w:spacing w:after="120" w:line="259" w:lineRule="auto"/>
        <w:rPr>
          <w:rFonts w:cs="Arial"/>
        </w:rPr>
      </w:pPr>
      <w:r w:rsidRPr="0084602A">
        <w:rPr>
          <w:rFonts w:cs="Arial"/>
        </w:rPr>
        <w:t xml:space="preserve">PM:  </w:t>
      </w:r>
      <w:r w:rsidRPr="0084602A">
        <w:rPr>
          <w:rFonts w:cs="Arial"/>
          <w:u w:val="single"/>
        </w:rPr>
        <w:tab/>
      </w:r>
      <w:r w:rsidRPr="0084602A">
        <w:rPr>
          <w:rFonts w:cs="Arial"/>
          <w:u w:val="single"/>
        </w:rPr>
        <w:tab/>
      </w:r>
      <w:r w:rsidRPr="0084602A">
        <w:rPr>
          <w:rFonts w:cs="Arial"/>
          <w:u w:val="single"/>
        </w:rPr>
        <w:tab/>
      </w:r>
      <w:r w:rsidRPr="0084602A">
        <w:rPr>
          <w:rFonts w:cs="Arial"/>
        </w:rPr>
        <w:tab/>
        <w:t xml:space="preserve">Project ID/EA:  </w:t>
      </w:r>
      <w:r w:rsidRPr="0084602A">
        <w:rPr>
          <w:rFonts w:cs="Arial"/>
          <w:u w:val="single"/>
        </w:rPr>
        <w:tab/>
      </w:r>
      <w:r w:rsidRPr="0084602A">
        <w:rPr>
          <w:rFonts w:cs="Arial"/>
          <w:u w:val="single"/>
        </w:rPr>
        <w:tab/>
      </w:r>
      <w:r w:rsidRPr="0084602A">
        <w:rPr>
          <w:rFonts w:cs="Arial"/>
        </w:rPr>
        <w:tab/>
        <w:t xml:space="preserve">RWQCB:  </w:t>
      </w:r>
      <w:r w:rsidRPr="0084602A">
        <w:rPr>
          <w:rFonts w:cs="Arial"/>
          <w:u w:val="single"/>
        </w:rPr>
        <w:tab/>
      </w:r>
      <w:r w:rsidRPr="0084602A">
        <w:rPr>
          <w:rFonts w:cs="Arial"/>
          <w:u w:val="single"/>
        </w:rPr>
        <w:tab/>
      </w:r>
      <w:r w:rsidRPr="0084602A">
        <w:rPr>
          <w:rFonts w:cs="Arial"/>
          <w:u w:val="single"/>
        </w:rPr>
        <w:tab/>
      </w:r>
      <w:r w:rsidR="00EC4AA0">
        <w:rPr>
          <w:rFonts w:cs="Arial"/>
          <w:u w:val="single"/>
        </w:rPr>
        <w:tab/>
      </w:r>
    </w:p>
    <w:p w14:paraId="239215EA" w14:textId="0CCC495D" w:rsidR="00083DB7" w:rsidRPr="00CA12CA" w:rsidRDefault="00083DB7" w:rsidP="00CA12CA">
      <w:pPr>
        <w:spacing w:before="120" w:after="120"/>
        <w:ind w:right="1800"/>
        <w:rPr>
          <w:b/>
          <w:i/>
        </w:rPr>
      </w:pPr>
      <w:r w:rsidRPr="00CA12CA">
        <w:rPr>
          <w:b/>
          <w:i/>
        </w:rPr>
        <w:t>Dry Weather Flow Diversion</w:t>
      </w:r>
    </w:p>
    <w:p w14:paraId="1FBF7706" w14:textId="1B23A93E" w:rsidR="00F07FF6" w:rsidRPr="00CA12CA" w:rsidRDefault="00F07FF6" w:rsidP="00CA12CA">
      <w:pPr>
        <w:spacing w:before="120" w:after="120"/>
        <w:ind w:right="1800"/>
        <w:rPr>
          <w:b/>
          <w:bCs/>
          <w:i/>
          <w:iCs/>
          <w:u w:val="single"/>
        </w:rPr>
      </w:pPr>
      <w:r w:rsidRPr="00CA12CA">
        <w:rPr>
          <w:b/>
          <w:bCs/>
          <w:i/>
          <w:iCs/>
          <w:u w:val="single"/>
        </w:rPr>
        <w:t>Feasibility</w:t>
      </w:r>
    </w:p>
    <w:p w14:paraId="0F45EE5C" w14:textId="76F4AFCD" w:rsidR="00F07FF6" w:rsidRPr="00CA12CA" w:rsidRDefault="00F07FF6" w:rsidP="00CA12CA">
      <w:pPr>
        <w:pStyle w:val="ListParagraph"/>
        <w:keepNext/>
        <w:keepLines/>
        <w:numPr>
          <w:ilvl w:val="0"/>
          <w:numId w:val="96"/>
        </w:numPr>
        <w:tabs>
          <w:tab w:val="left" w:pos="7920"/>
        </w:tabs>
        <w:spacing w:before="120" w:after="120"/>
        <w:ind w:left="360" w:right="1800"/>
        <w:contextualSpacing w:val="0"/>
      </w:pPr>
      <w:r w:rsidRPr="00CA12CA">
        <w:t>Is a Dry-Weather Flow Diversion acceptable to a Publicly Owned Treatment Works (POTW)?</w:t>
      </w:r>
      <w:r w:rsidRPr="00CA12CA">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08D5F659" w14:textId="53E99D59" w:rsidR="00F07FF6" w:rsidRPr="00CA12CA" w:rsidRDefault="00F07FF6" w:rsidP="00CA12CA">
      <w:pPr>
        <w:pStyle w:val="ListParagraph"/>
        <w:keepNext/>
        <w:keepLines/>
        <w:numPr>
          <w:ilvl w:val="0"/>
          <w:numId w:val="96"/>
        </w:numPr>
        <w:tabs>
          <w:tab w:val="left" w:pos="7920"/>
        </w:tabs>
        <w:spacing w:before="120" w:after="120"/>
        <w:ind w:left="360" w:right="1800"/>
        <w:contextualSpacing w:val="0"/>
      </w:pPr>
      <w:r w:rsidRPr="00CA12CA">
        <w:t>Would a connection require ordinary (i.e., not extraordinary) plumbing features, or construction methods to implement?</w:t>
      </w:r>
      <w:r w:rsidRPr="00CA12CA">
        <w:rPr>
          <w:rFonts w:cs="Arial"/>
          <w:bCs/>
        </w:rPr>
        <w:t xml:space="preserve">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13586D48" w14:textId="2EC5FF15" w:rsidR="00F07FF6" w:rsidRPr="00CA12CA" w:rsidRDefault="00F07FF6" w:rsidP="00CA12CA">
      <w:pPr>
        <w:pStyle w:val="ListParagraph"/>
        <w:keepNext/>
        <w:keepLines/>
        <w:tabs>
          <w:tab w:val="left" w:pos="7920"/>
        </w:tabs>
        <w:spacing w:before="120" w:after="120"/>
        <w:ind w:left="360" w:right="1800"/>
        <w:contextualSpacing w:val="0"/>
      </w:pPr>
      <w:r w:rsidRPr="00CA12CA">
        <w:t>If “No” to either question above, Dry Weather Flow Diversion is not feasible.</w:t>
      </w:r>
    </w:p>
    <w:p w14:paraId="4265186E" w14:textId="2409325A" w:rsidR="00F07FF6" w:rsidRPr="00CA12CA" w:rsidRDefault="00F07FF6" w:rsidP="00CA12CA">
      <w:pPr>
        <w:pStyle w:val="ListParagraph"/>
        <w:keepNext/>
        <w:keepLines/>
        <w:numPr>
          <w:ilvl w:val="0"/>
          <w:numId w:val="96"/>
        </w:numPr>
        <w:tabs>
          <w:tab w:val="left" w:pos="7920"/>
        </w:tabs>
        <w:spacing w:before="120" w:after="120"/>
        <w:ind w:left="360" w:right="1800"/>
        <w:contextualSpacing w:val="0"/>
      </w:pPr>
      <w:r w:rsidRPr="00CA12CA">
        <w:t>Does adequate area exist within the RW to place Dry Weather Flow Diversion devices?</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3B67136C" w14:textId="763EB5BF" w:rsidR="00F07FF6" w:rsidRPr="00CA12CA" w:rsidRDefault="00F07FF6" w:rsidP="00CA12CA">
      <w:pPr>
        <w:pStyle w:val="ListParagraph"/>
        <w:keepNext/>
        <w:keepLines/>
        <w:tabs>
          <w:tab w:val="left" w:pos="7920"/>
        </w:tabs>
        <w:spacing w:before="120" w:after="120"/>
        <w:ind w:left="360" w:right="1800"/>
        <w:contextualSpacing w:val="0"/>
      </w:pPr>
      <w:r w:rsidRPr="00CA12CA">
        <w:t xml:space="preserve">If “Yes”, continue to Design Elements sections. If “No”, continue to Question 4. </w:t>
      </w:r>
    </w:p>
    <w:p w14:paraId="7C60D971" w14:textId="0FDD694F" w:rsidR="00F07FF6" w:rsidRPr="00CA12CA" w:rsidRDefault="00F07FF6" w:rsidP="00CA12CA">
      <w:pPr>
        <w:pStyle w:val="ListParagraph"/>
        <w:keepNext/>
        <w:keepLines/>
        <w:numPr>
          <w:ilvl w:val="0"/>
          <w:numId w:val="96"/>
        </w:numPr>
        <w:tabs>
          <w:tab w:val="left" w:pos="7920"/>
        </w:tabs>
        <w:spacing w:before="120" w:after="120"/>
        <w:ind w:left="360" w:right="1800"/>
        <w:contextualSpacing w:val="0"/>
      </w:pPr>
      <w:r w:rsidRPr="00CA12CA">
        <w:t xml:space="preserve">If adequate area does not exist within RW, can suitable, additional RW be acquired to site Dry Weather Flow Diversion devices and how much RW would be needed? _________ (acres)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754B27CF" w14:textId="76391DB1" w:rsidR="00F07FF6" w:rsidRPr="00CA12CA" w:rsidRDefault="00F07FF6" w:rsidP="00CA12CA">
      <w:pPr>
        <w:pStyle w:val="ListParagraph"/>
        <w:keepNext/>
        <w:keepLines/>
        <w:tabs>
          <w:tab w:val="left" w:pos="7920"/>
        </w:tabs>
        <w:spacing w:before="120" w:after="120"/>
        <w:ind w:left="360" w:right="1800"/>
        <w:contextualSpacing w:val="0"/>
      </w:pPr>
      <w:r w:rsidRPr="00CA12CA">
        <w:t xml:space="preserve">If “Yes”, continue to the Design Elements section. </w:t>
      </w:r>
      <w:r w:rsidR="00E16A8D" w:rsidRPr="00CA12CA">
        <w:br/>
      </w:r>
      <w:r w:rsidRPr="00CA12CA">
        <w:t xml:space="preserve">If “No”, continue to Question 5. </w:t>
      </w:r>
    </w:p>
    <w:p w14:paraId="5F4326BC" w14:textId="3C1DC188" w:rsidR="00F07FF6" w:rsidRPr="00CA12CA" w:rsidRDefault="00F07FF6" w:rsidP="00CA12CA">
      <w:pPr>
        <w:pStyle w:val="ListParagraph"/>
        <w:keepNext/>
        <w:keepLines/>
        <w:numPr>
          <w:ilvl w:val="0"/>
          <w:numId w:val="96"/>
        </w:numPr>
        <w:tabs>
          <w:tab w:val="left" w:pos="7920"/>
        </w:tabs>
        <w:spacing w:before="120" w:after="120"/>
        <w:ind w:left="360" w:right="1800"/>
        <w:contextualSpacing w:val="0"/>
      </w:pPr>
      <w:r w:rsidRPr="00CA12CA">
        <w:t>If adequate area cannot be obtained, document in Section 6 of the SWDR that the inability to obtain adequate area prevents the incorporation of this Treatment BMP into the project.</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Complete</w:t>
      </w:r>
    </w:p>
    <w:p w14:paraId="2E31E1ED" w14:textId="77777777" w:rsidR="00F07FF6" w:rsidRPr="00CA12CA" w:rsidRDefault="00F07FF6" w:rsidP="00CA12CA">
      <w:pPr>
        <w:spacing w:before="120" w:after="120"/>
        <w:ind w:right="1800"/>
        <w:rPr>
          <w:b/>
          <w:bCs/>
          <w:i/>
          <w:iCs/>
          <w:u w:val="single"/>
        </w:rPr>
      </w:pPr>
      <w:r w:rsidRPr="00CA12CA">
        <w:rPr>
          <w:b/>
          <w:bCs/>
          <w:i/>
          <w:iCs/>
          <w:u w:val="single"/>
        </w:rPr>
        <w:t>Design Elements</w:t>
      </w:r>
    </w:p>
    <w:p w14:paraId="4AB4FC97" w14:textId="77777777" w:rsidR="00F07FF6" w:rsidRPr="00CA12CA" w:rsidRDefault="00F07FF6" w:rsidP="00CA12CA">
      <w:pPr>
        <w:spacing w:before="120" w:after="120"/>
      </w:pPr>
      <w:r w:rsidRPr="00CA12CA">
        <w:rPr>
          <w:b/>
          <w:bCs/>
        </w:rPr>
        <w:t>* Required Design Element –</w:t>
      </w:r>
      <w:r w:rsidRPr="00CA12CA">
        <w:t xml:space="preserve"> A “Yes” response to these questions is required to further the consideration of this BMP into the project design. Document a “No” response in Section 6 of the SWDR to describe why this Treatment BMP cannot be included into the project design. </w:t>
      </w:r>
    </w:p>
    <w:p w14:paraId="1C4B0F3D" w14:textId="77777777" w:rsidR="00F07FF6" w:rsidRPr="00CA12CA" w:rsidRDefault="00F07FF6" w:rsidP="00CA12CA">
      <w:pPr>
        <w:spacing w:before="120" w:after="120"/>
      </w:pPr>
      <w:r w:rsidRPr="00CA12CA">
        <w:rPr>
          <w:b/>
          <w:bCs/>
        </w:rPr>
        <w:t>** Recommended Design Element –</w:t>
      </w:r>
      <w:r w:rsidRPr="00CA12CA">
        <w:t xml:space="preserve"> A “Yes” response is preferred for these questions, but not required for incorporation into a project design.</w:t>
      </w:r>
    </w:p>
    <w:p w14:paraId="06945D99" w14:textId="6EE01966" w:rsidR="00F07FF6" w:rsidRPr="00CA12CA" w:rsidRDefault="00F07FF6" w:rsidP="00CA12CA">
      <w:pPr>
        <w:pStyle w:val="ListParagraph"/>
        <w:numPr>
          <w:ilvl w:val="0"/>
          <w:numId w:val="97"/>
        </w:numPr>
        <w:tabs>
          <w:tab w:val="left" w:pos="7920"/>
        </w:tabs>
        <w:spacing w:before="120" w:after="120"/>
        <w:ind w:left="360" w:right="1800"/>
        <w:contextualSpacing w:val="0"/>
      </w:pPr>
      <w:r w:rsidRPr="00CA12CA">
        <w:t>Does the existing sanitary sewer pipeline have adequate capacity to accept project dry weather flows, or can an upgrade be implemented to handle the anticipated dry weather flows within the project’s budget and objectives?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04D7602C" w14:textId="263B57B3" w:rsidR="00F07FF6" w:rsidRPr="00CA12CA" w:rsidRDefault="00F07FF6" w:rsidP="00CA12CA">
      <w:pPr>
        <w:pStyle w:val="ListParagraph"/>
        <w:numPr>
          <w:ilvl w:val="0"/>
          <w:numId w:val="97"/>
        </w:numPr>
        <w:tabs>
          <w:tab w:val="left" w:pos="7920"/>
        </w:tabs>
        <w:spacing w:before="120" w:after="120"/>
        <w:ind w:left="360" w:right="1800"/>
        <w:contextualSpacing w:val="0"/>
      </w:pPr>
      <w:r w:rsidRPr="00CA12CA">
        <w:t>Can the connection be designed to allow for maintenance vehicle access?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55912431" w14:textId="4DA04013" w:rsidR="00F07FF6" w:rsidRPr="00CA12CA" w:rsidRDefault="00F07FF6" w:rsidP="00CA12CA">
      <w:pPr>
        <w:pStyle w:val="ListParagraph"/>
        <w:numPr>
          <w:ilvl w:val="0"/>
          <w:numId w:val="97"/>
        </w:numPr>
        <w:tabs>
          <w:tab w:val="left" w:pos="7920"/>
        </w:tabs>
        <w:spacing w:before="120" w:after="120"/>
        <w:ind w:left="360" w:right="1800"/>
        <w:contextualSpacing w:val="0"/>
      </w:pPr>
      <w:r w:rsidRPr="00CA12CA">
        <w:t>Can gate, weir, or valve be designed to stop diversion during storm events?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3C264C16" w14:textId="4F3BD709" w:rsidR="00F07FF6" w:rsidRPr="00CA12CA" w:rsidRDefault="00F07FF6" w:rsidP="00CA12CA">
      <w:pPr>
        <w:pStyle w:val="ListParagraph"/>
        <w:numPr>
          <w:ilvl w:val="0"/>
          <w:numId w:val="97"/>
        </w:numPr>
        <w:tabs>
          <w:tab w:val="left" w:pos="7920"/>
        </w:tabs>
        <w:spacing w:before="120" w:after="120"/>
        <w:ind w:left="360" w:right="1800"/>
        <w:contextualSpacing w:val="0"/>
      </w:pPr>
      <w:r w:rsidRPr="00CA12CA">
        <w:t>Can the inlet be designed to reduce chances of clogging the diversion pipe or channel? *</w:t>
      </w:r>
      <w:r w:rsidRPr="00CA12CA">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p>
    <w:p w14:paraId="125D9F78" w14:textId="4C4B9F1F" w:rsidR="00646015" w:rsidRPr="00B50E87" w:rsidRDefault="00F07FF6" w:rsidP="00B76887">
      <w:pPr>
        <w:pStyle w:val="ListParagraph"/>
        <w:numPr>
          <w:ilvl w:val="0"/>
          <w:numId w:val="97"/>
        </w:numPr>
        <w:tabs>
          <w:tab w:val="left" w:pos="7920"/>
        </w:tabs>
        <w:spacing w:before="120" w:after="120"/>
        <w:ind w:left="360" w:right="1800"/>
        <w:contextualSpacing w:val="0"/>
      </w:pPr>
      <w:r w:rsidRPr="00CA12CA">
        <w:t>Can a back flow prevention device be designed to prevent sanitary sewage from entering storm drain? *</w:t>
      </w:r>
      <w:r w:rsidRPr="00B50E87">
        <w:rPr>
          <w:rFonts w:cs="Arial"/>
          <w:bCs/>
        </w:rPr>
        <w:tab/>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Yes  </w:t>
      </w:r>
      <w:r w:rsidRPr="00CA12CA">
        <w:fldChar w:fldCharType="begin">
          <w:ffData>
            <w:name w:val=""/>
            <w:enabled/>
            <w:calcOnExit w:val="0"/>
            <w:checkBox>
              <w:sizeAuto/>
              <w:default w:val="0"/>
              <w:checked w:val="0"/>
            </w:checkBox>
          </w:ffData>
        </w:fldChar>
      </w:r>
      <w:r w:rsidRPr="00CA12CA">
        <w:instrText xml:space="preserve"> FORMCHECKBOX </w:instrText>
      </w:r>
      <w:r w:rsidR="003E5321">
        <w:fldChar w:fldCharType="separate"/>
      </w:r>
      <w:r w:rsidRPr="00CA12CA">
        <w:fldChar w:fldCharType="end"/>
      </w:r>
      <w:r w:rsidRPr="00CA12CA">
        <w:t xml:space="preserve"> No</w:t>
      </w:r>
      <w:bookmarkEnd w:id="1"/>
      <w:bookmarkEnd w:id="2"/>
      <w:bookmarkEnd w:id="3"/>
      <w:bookmarkEnd w:id="4"/>
    </w:p>
    <w:sectPr w:rsidR="00646015" w:rsidRPr="00B50E87" w:rsidSect="00B50E87">
      <w:headerReference w:type="default" r:id="rId8"/>
      <w:footerReference w:type="default" r:id="rId9"/>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56CA" w14:textId="77777777" w:rsidR="00D82770" w:rsidRDefault="00D82770">
      <w:r>
        <w:separator/>
      </w:r>
    </w:p>
    <w:p w14:paraId="32236730" w14:textId="77777777" w:rsidR="00D82770" w:rsidRDefault="00D82770"/>
    <w:p w14:paraId="133A742E" w14:textId="77777777" w:rsidR="00D82770" w:rsidRDefault="00D82770"/>
  </w:endnote>
  <w:endnote w:type="continuationSeparator" w:id="0">
    <w:p w14:paraId="2A5340AF" w14:textId="77777777" w:rsidR="00D82770" w:rsidRDefault="00D82770">
      <w:r>
        <w:continuationSeparator/>
      </w:r>
    </w:p>
    <w:p w14:paraId="56E53D4F" w14:textId="77777777" w:rsidR="00D82770" w:rsidRDefault="00D82770"/>
    <w:p w14:paraId="336DE155" w14:textId="77777777" w:rsidR="00D82770" w:rsidRDefault="00D82770"/>
  </w:endnote>
  <w:endnote w:type="continuationNotice" w:id="1">
    <w:p w14:paraId="1D4040DB" w14:textId="77777777" w:rsidR="00D82770" w:rsidRDefault="00D827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E74F6F27-923A-43F3-AAB4-3A636227D35A}"/>
    <w:embedBold r:id="rId2" w:fontKey="{01D44842-34F9-4BFC-BFE3-038CDDDF5038}"/>
    <w:embedItalic r:id="rId3" w:fontKey="{703CF87A-3FDE-4295-A12C-784E67D780F0}"/>
    <w:embedBoldItalic r:id="rId4" w:fontKey="{4BBE3EC1-7755-4A96-AB03-6C4EBD8452D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5E3460B3" w:rsidR="7751B691" w:rsidRPr="00B50E87" w:rsidRDefault="00B50E87" w:rsidP="00B50E87">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6492" w14:textId="77777777" w:rsidR="00D82770" w:rsidRDefault="00D82770">
      <w:bookmarkStart w:id="0" w:name="_Hlk131594259"/>
      <w:bookmarkEnd w:id="0"/>
      <w:r>
        <w:separator/>
      </w:r>
    </w:p>
  </w:footnote>
  <w:footnote w:type="continuationSeparator" w:id="0">
    <w:p w14:paraId="63A86656" w14:textId="77777777" w:rsidR="00D82770" w:rsidRDefault="00D82770">
      <w:r>
        <w:continuationSeparator/>
      </w:r>
    </w:p>
    <w:p w14:paraId="4E6AD772" w14:textId="77777777" w:rsidR="00D82770" w:rsidRDefault="00D82770"/>
    <w:p w14:paraId="73D800F6" w14:textId="77777777" w:rsidR="00D82770" w:rsidRDefault="00D82770"/>
  </w:footnote>
  <w:footnote w:type="continuationNotice" w:id="1">
    <w:p w14:paraId="4B6A4C9E" w14:textId="77777777" w:rsidR="00D82770" w:rsidRDefault="00D827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8762" w14:textId="689C20AF" w:rsidR="00B50E87" w:rsidRPr="005B1958" w:rsidRDefault="00B50E87" w:rsidP="00B50E87">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3E5321">
      <w:rPr>
        <w:rFonts w:eastAsia="Calibri" w:cs="Times New Roman"/>
        <w:b/>
        <w:i/>
        <w:color w:val="3F6EA7"/>
        <w:sz w:val="24"/>
        <w:szCs w:val="28"/>
      </w:rPr>
      <w:t>hecklist T-1, Part 6</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321"/>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0E87"/>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770"/>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2023-07-07T21:05:00Z</dcterms:created>
  <dcterms:modified xsi:type="dcterms:W3CDTF">2023-07-18T16:04:00Z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