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19397" w14:textId="77777777" w:rsidR="00000000" w:rsidRPr="00E41B28" w:rsidRDefault="00755BD5" w:rsidP="00E41B28">
      <w:pPr>
        <w:pStyle w:val="Heading1"/>
        <w:rPr>
          <w:sz w:val="28"/>
        </w:rPr>
      </w:pPr>
      <w:bookmarkStart w:id="0" w:name="_GoBack"/>
      <w:r w:rsidRPr="00E41B28">
        <w:rPr>
          <w:sz w:val="28"/>
        </w:rPr>
        <w:t>Procedure for Sponsor Concurrence of Non-Standard Special Provisions</w:t>
      </w:r>
    </w:p>
    <w:bookmarkEnd w:id="0"/>
    <w:p w14:paraId="5637E597" w14:textId="77777777" w:rsidR="00000000" w:rsidRPr="00E41B28" w:rsidRDefault="00755BD5" w:rsidP="00E41B28"/>
    <w:p w14:paraId="396FB49D" w14:textId="77777777" w:rsidR="00000000" w:rsidRPr="00E41B28" w:rsidRDefault="00755BD5" w:rsidP="00E41B28">
      <w:pPr>
        <w:pStyle w:val="Heading2"/>
      </w:pPr>
      <w:r w:rsidRPr="00E41B28">
        <w:t>Non-Standard Special Provisions:</w:t>
      </w:r>
    </w:p>
    <w:p w14:paraId="2C9A116D" w14:textId="455ABF02" w:rsidR="00000000" w:rsidRDefault="00755BD5">
      <w:pPr>
        <w:widowControl w:val="0"/>
        <w:spacing w:line="240" w:lineRule="atLeast"/>
        <w:ind w:left="450" w:firstLine="460"/>
      </w:pPr>
      <w:r>
        <w:t>N</w:t>
      </w:r>
      <w:r>
        <w:t>on-standard special provisions (</w:t>
      </w:r>
      <w:proofErr w:type="spellStart"/>
      <w:r>
        <w:t>nSSPs</w:t>
      </w:r>
      <w:proofErr w:type="spellEnd"/>
      <w:r>
        <w:t>) may be developed to provide BMPs that do not have an approved standard.  Generally, these are standard special pr</w:t>
      </w:r>
      <w:r>
        <w:t xml:space="preserve">ovisions (SSPs) that are highly modified or newly created specifications (marked NEW or ALL NEW).  Modified SSPs are considered non-standard when the payment and measurement clauses are </w:t>
      </w:r>
      <w:proofErr w:type="gramStart"/>
      <w:r>
        <w:t>changed</w:t>
      </w:r>
      <w:proofErr w:type="gramEnd"/>
      <w:r>
        <w:t xml:space="preserve"> or different materials or installation methods are specified.</w:t>
      </w:r>
    </w:p>
    <w:p w14:paraId="2D9B602F" w14:textId="77777777" w:rsidR="00000000" w:rsidRDefault="00755BD5">
      <w:pPr>
        <w:widowControl w:val="0"/>
        <w:spacing w:line="240" w:lineRule="atLeast"/>
        <w:ind w:left="450" w:firstLine="460"/>
      </w:pPr>
      <w:r>
        <w:t xml:space="preserve">If non-standard special provisions are used in a project, then sponsor concurrence must be obtained from the functional program.  For example, the Office of State Landscape Architecture is the sponsor for (permanent) erosion control special provisions and </w:t>
      </w:r>
      <w:r>
        <w:t>the Office of Storm Water Management- Design is the sponsor for water pollution control special provisions (temporary erosion control and construction site BMPs).  Information on non-standard special provisions can be found in Section 4-2 of the PS&amp;E Guide</w:t>
      </w:r>
      <w:r>
        <w:t>.</w:t>
      </w:r>
    </w:p>
    <w:p w14:paraId="3CC5BFE5" w14:textId="77777777" w:rsidR="00000000" w:rsidRDefault="00755BD5">
      <w:pPr>
        <w:widowControl w:val="0"/>
        <w:spacing w:line="240" w:lineRule="atLeast"/>
        <w:ind w:left="450" w:firstLine="460"/>
      </w:pPr>
    </w:p>
    <w:p w14:paraId="095F7F59" w14:textId="77777777" w:rsidR="00000000" w:rsidRDefault="00755BD5" w:rsidP="00E41B28">
      <w:pPr>
        <w:pStyle w:val="Heading2"/>
      </w:pPr>
      <w:r>
        <w:t>Sponsor Concurrence Procedure:</w:t>
      </w:r>
    </w:p>
    <w:p w14:paraId="2FA533ED" w14:textId="77777777" w:rsidR="00000000" w:rsidRDefault="00755BD5">
      <w:pPr>
        <w:widowControl w:val="0"/>
        <w:spacing w:line="240" w:lineRule="atLeast"/>
        <w:ind w:left="450" w:firstLine="460"/>
      </w:pPr>
      <w:r>
        <w:t xml:space="preserve">The process to obtain concurrence should take the form of a memo from the district office engineer to the chief of the headquarters functional program. </w:t>
      </w:r>
    </w:p>
    <w:p w14:paraId="6FC5E695" w14:textId="77777777" w:rsidR="00000000" w:rsidRDefault="00755BD5">
      <w:pPr>
        <w:widowControl w:val="0"/>
        <w:numPr>
          <w:ilvl w:val="0"/>
          <w:numId w:val="1"/>
        </w:numPr>
        <w:spacing w:line="240" w:lineRule="atLeast"/>
      </w:pPr>
      <w:r>
        <w:t>Prepare a Sponsor Request Form(s) for District Office Engineer signat</w:t>
      </w:r>
      <w:r>
        <w:t>ure.  Depending upon which specs are used, you may have to prepare separate forms for each sponsor.</w:t>
      </w:r>
    </w:p>
    <w:p w14:paraId="162BDA04" w14:textId="77777777" w:rsidR="00000000" w:rsidRDefault="00755BD5">
      <w:pPr>
        <w:widowControl w:val="0"/>
        <w:numPr>
          <w:ilvl w:val="0"/>
          <w:numId w:val="1"/>
        </w:numPr>
        <w:spacing w:line="240" w:lineRule="atLeast"/>
      </w:pPr>
      <w:r>
        <w:t>List the non-standard special provisions and give a justification that describes how the problem situation is resolved for each.  Below is a sample justific</w:t>
      </w:r>
      <w:r>
        <w:t>ation:</w:t>
      </w:r>
    </w:p>
    <w:p w14:paraId="2B5796E8" w14:textId="77777777" w:rsidR="00000000" w:rsidRDefault="00755BD5">
      <w:pPr>
        <w:pStyle w:val="Indent1Hanging"/>
        <w:ind w:left="1080" w:right="360" w:firstLine="360"/>
        <w:rPr>
          <w:i/>
          <w:iCs/>
        </w:rPr>
      </w:pPr>
      <w:r>
        <w:rPr>
          <w:i/>
          <w:iCs/>
        </w:rPr>
        <w:t>This is a new non-standard specification for the installation of sediment control devices as a water pollution control measure associated with drainage inlets during construction.  This specification includes options for inlets that are temporary, u</w:t>
      </w:r>
      <w:r>
        <w:rPr>
          <w:i/>
          <w:iCs/>
        </w:rPr>
        <w:t>nder construction, and completed.  Presently, there is no standard specification for this situation.</w:t>
      </w:r>
    </w:p>
    <w:p w14:paraId="5A4518BF" w14:textId="77777777" w:rsidR="00000000" w:rsidRDefault="00755BD5">
      <w:pPr>
        <w:pStyle w:val="Indent1Hanging"/>
        <w:ind w:left="1080" w:right="360" w:firstLine="360"/>
        <w:rPr>
          <w:i/>
          <w:iCs/>
        </w:rPr>
      </w:pPr>
      <w:r>
        <w:rPr>
          <w:i/>
          <w:iCs/>
        </w:rPr>
        <w:t>A detail accompanies this specification.</w:t>
      </w:r>
    </w:p>
    <w:p w14:paraId="27D348C1" w14:textId="77777777" w:rsidR="00000000" w:rsidRDefault="00755BD5">
      <w:pPr>
        <w:pStyle w:val="Indent1Hanging"/>
        <w:ind w:left="1080" w:right="360" w:firstLine="360"/>
        <w:rPr>
          <w:i/>
          <w:iCs/>
        </w:rPr>
      </w:pPr>
      <w:r>
        <w:rPr>
          <w:i/>
          <w:iCs/>
        </w:rPr>
        <w:t>This item has been used on several projects including: 04-0T0501 Sol 80, 04-268101, CC 80, and 04-4874Q1, SCL 87 p</w:t>
      </w:r>
      <w:r>
        <w:rPr>
          <w:i/>
          <w:iCs/>
        </w:rPr>
        <w:t>rojects.</w:t>
      </w:r>
    </w:p>
    <w:p w14:paraId="6F9AE722" w14:textId="77777777" w:rsidR="00000000" w:rsidRDefault="00755BD5">
      <w:pPr>
        <w:widowControl w:val="0"/>
        <w:spacing w:line="240" w:lineRule="atLeast"/>
        <w:ind w:left="1080"/>
      </w:pPr>
    </w:p>
    <w:p w14:paraId="24A1E715" w14:textId="77777777" w:rsidR="00000000" w:rsidRDefault="00755BD5">
      <w:pPr>
        <w:widowControl w:val="0"/>
        <w:numPr>
          <w:ilvl w:val="0"/>
          <w:numId w:val="1"/>
        </w:numPr>
        <w:spacing w:line="240" w:lineRule="atLeast"/>
      </w:pPr>
      <w:r>
        <w:t>Through the Project Engineer or DOE reviewer, send the Form(s) to DOE for signature.</w:t>
      </w:r>
    </w:p>
    <w:p w14:paraId="722AE179" w14:textId="77777777" w:rsidR="00000000" w:rsidRDefault="00755BD5">
      <w:pPr>
        <w:widowControl w:val="0"/>
        <w:numPr>
          <w:ilvl w:val="0"/>
          <w:numId w:val="1"/>
        </w:numPr>
        <w:spacing w:line="240" w:lineRule="atLeast"/>
      </w:pPr>
      <w:r>
        <w:t xml:space="preserve">Send the signed Form(s) to the sponsor.  This can be accomplished with a .pdf file attached to a Lotus Notes message.  Often, the contact person will </w:t>
      </w:r>
      <w:proofErr w:type="gramStart"/>
      <w:r>
        <w:t>sent</w:t>
      </w:r>
      <w:proofErr w:type="gramEnd"/>
      <w:r>
        <w:t xml:space="preserve"> the un</w:t>
      </w:r>
      <w:r>
        <w:t>signed request memo as an attachment with DOE blessing.</w:t>
      </w:r>
    </w:p>
    <w:p w14:paraId="7218DEC8" w14:textId="77777777" w:rsidR="00000000" w:rsidRDefault="00755BD5">
      <w:pPr>
        <w:pStyle w:val="BodyTextIndent2"/>
      </w:pPr>
      <w:r>
        <w:t xml:space="preserve">(Occasionally, a complete set of plans and specs may be required to evaluate an unfamiliar </w:t>
      </w:r>
      <w:proofErr w:type="spellStart"/>
      <w:r>
        <w:t>nSSP</w:t>
      </w:r>
      <w:proofErr w:type="spellEnd"/>
      <w:r>
        <w:t xml:space="preserve">.  A district circulation PS&amp;E package is </w:t>
      </w:r>
      <w:proofErr w:type="gramStart"/>
      <w:r>
        <w:t>sufficient</w:t>
      </w:r>
      <w:proofErr w:type="gramEnd"/>
      <w:r>
        <w:t>; but individual special provisions and detail sheets</w:t>
      </w:r>
      <w:r>
        <w:t xml:space="preserve"> usually are not.  The PE should have a package and may be able to do the mailing as well.)</w:t>
      </w:r>
    </w:p>
    <w:p w14:paraId="3F279A5D" w14:textId="77777777" w:rsidR="00000000" w:rsidRDefault="00755BD5">
      <w:pPr>
        <w:widowControl w:val="0"/>
        <w:numPr>
          <w:ilvl w:val="0"/>
          <w:numId w:val="1"/>
        </w:numPr>
        <w:spacing w:line="240" w:lineRule="atLeast"/>
      </w:pPr>
      <w:r>
        <w:t>If all items can not be sent by e-mail, please inform the sponsor by phone or e-mail that a package is on the way.</w:t>
      </w:r>
    </w:p>
    <w:p w14:paraId="6DC6D3C5" w14:textId="6C67A36D" w:rsidR="00755BD5" w:rsidRDefault="00755BD5" w:rsidP="00E41B28">
      <w:pPr>
        <w:widowControl w:val="0"/>
        <w:numPr>
          <w:ilvl w:val="0"/>
          <w:numId w:val="1"/>
        </w:numPr>
        <w:spacing w:line="240" w:lineRule="atLeast"/>
      </w:pPr>
      <w:r>
        <w:t>The Sponsor Concurrence Memo will usually be sent</w:t>
      </w:r>
      <w:r>
        <w:t xml:space="preserve"> as a Lotus Notes message.  Upon receipt, forward the sponsor’s concurrence to the PE if </w:t>
      </w:r>
      <w:proofErr w:type="spellStart"/>
      <w:r>
        <w:t>courtest</w:t>
      </w:r>
      <w:proofErr w:type="spellEnd"/>
      <w:r>
        <w:t xml:space="preserve"> copies have not already been sent. </w:t>
      </w:r>
    </w:p>
    <w:sectPr w:rsidR="00755BD5">
      <w:footnotePr>
        <w:numFmt w:val="lowerRoman"/>
      </w:footnotePr>
      <w:endnotePr>
        <w:numFmt w:val="decimal"/>
        <w:numStart w:val="0"/>
      </w:endnotePr>
      <w:pgSz w:w="12240" w:h="15840"/>
      <w:pgMar w:top="99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C1B5A"/>
    <w:multiLevelType w:val="singleLevel"/>
    <w:tmpl w:val="FA84483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Roman"/>
  </w:footnotePr>
  <w:endnotePr>
    <w:pos w:val="sectEnd"/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28"/>
    <w:rsid w:val="00755BD5"/>
    <w:rsid w:val="00E4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ADEE35"/>
  <w15:chartTrackingRefBased/>
  <w15:docId w15:val="{E74369FE-2934-4C3A-A66C-AD0DDCFB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4"/>
      <w:lang w:val="en-US" w:eastAsia="en-US"/>
    </w:rPr>
  </w:style>
  <w:style w:type="paragraph" w:styleId="Heading1">
    <w:name w:val="heading 1"/>
    <w:basedOn w:val="Heading2"/>
    <w:next w:val="Normal"/>
    <w:qFormat/>
    <w:rsid w:val="00E41B28"/>
    <w:pPr>
      <w:outlineLvl w:val="0"/>
    </w:pPr>
  </w:style>
  <w:style w:type="paragraph" w:styleId="Heading2">
    <w:name w:val="heading 2"/>
    <w:basedOn w:val="Normal"/>
    <w:next w:val="Normal"/>
    <w:qFormat/>
    <w:rsid w:val="00E41B28"/>
    <w:pPr>
      <w:widowControl w:val="0"/>
      <w:spacing w:line="240" w:lineRule="atLeast"/>
      <w:ind w:left="450"/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</w:rPr>
  </w:style>
  <w:style w:type="paragraph" w:styleId="BodyTextIndent">
    <w:name w:val="Body Text Indent"/>
    <w:basedOn w:val="Normal"/>
    <w:semiHidden/>
    <w:pPr>
      <w:widowControl w:val="0"/>
      <w:spacing w:line="240" w:lineRule="atLeast"/>
      <w:ind w:left="720" w:firstLine="630"/>
    </w:pPr>
  </w:style>
  <w:style w:type="paragraph" w:customStyle="1" w:styleId="Indent1Hanging">
    <w:name w:val="Indent 1 Hanging"/>
    <w:basedOn w:val="Normal"/>
    <w:pPr>
      <w:ind w:left="720" w:hanging="36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semiHidden/>
    <w:pPr>
      <w:widowControl w:val="0"/>
      <w:spacing w:line="240" w:lineRule="atLeast"/>
      <w:ind w:left="108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3EC8831FDA347B3B4D34C1588A676" ma:contentTypeVersion="6" ma:contentTypeDescription="Create a new document." ma:contentTypeScope="" ma:versionID="986af36dea35a342596a4b3955698460">
  <xsd:schema xmlns:xsd="http://www.w3.org/2001/XMLSchema" xmlns:xs="http://www.w3.org/2001/XMLSchema" xmlns:p="http://schemas.microsoft.com/office/2006/metadata/properties" xmlns:ns2="8c8cfe39-bfce-4918-a795-97474633b185" targetNamespace="http://schemas.microsoft.com/office/2006/metadata/properties" ma:root="true" ma:fieldsID="152b2b83a319c80b81fdf0c16b6732c2" ns2:_="">
    <xsd:import namespace="8c8cfe39-bfce-4918-a795-97474633b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cfe39-bfce-4918-a795-97474633b1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69797E-48D3-4C49-BD46-863E9EE37E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51E721-9E00-4474-A9B1-090445BC7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cfe39-bfce-4918-a795-97474633b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F47AE3-BADE-4F2B-B115-18AE5A66A4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CC91C55-F470-4C86-8791-55F5DEBA4C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 Business, Housing, and Transportation Agency</vt:lpstr>
    </vt:vector>
  </TitlesOfParts>
  <Company>Caltrans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for Sponsor Concurrence of Non-Standard Special Provisions</dc:title>
  <dc:subject>Erosion Control</dc:subject>
  <dc:creator>Lauchland, Henry</dc:creator>
  <cp:keywords/>
  <cp:lastModifiedBy>Pat Scouten</cp:lastModifiedBy>
  <cp:revision>2</cp:revision>
  <cp:lastPrinted>1999-07-21T20:15:00Z</cp:lastPrinted>
  <dcterms:created xsi:type="dcterms:W3CDTF">2019-05-23T19:21:00Z</dcterms:created>
  <dcterms:modified xsi:type="dcterms:W3CDTF">2019-05-23T19:21:00Z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Adam Spencer</vt:lpwstr>
  </property>
  <property fmtid="{D5CDD505-2E9C-101B-9397-08002B2CF9AE}" pid="3" name="xd_Signature">
    <vt:lpwstr/>
  </property>
  <property fmtid="{D5CDD505-2E9C-101B-9397-08002B2CF9AE}" pid="4" name="Order">
    <vt:lpwstr>1538100.00000000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Adam Spencer</vt:lpwstr>
  </property>
  <property fmtid="{D5CDD505-2E9C-101B-9397-08002B2CF9AE}" pid="9" name="ContentTypeId">
    <vt:lpwstr>0x010100D9AB3CBF84969B44AFFFE63C25CB4FB9</vt:lpwstr>
  </property>
  <property fmtid="{D5CDD505-2E9C-101B-9397-08002B2CF9AE}" pid="10" name="_SourceUrl">
    <vt:lpwstr/>
  </property>
  <property fmtid="{D5CDD505-2E9C-101B-9397-08002B2CF9AE}" pid="11" name="_SharedFileIndex">
    <vt:lpwstr/>
  </property>
</Properties>
</file>