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1EE1" w14:textId="6BE40ABC" w:rsidR="004B1B7B" w:rsidRPr="00533B85" w:rsidRDefault="004B1B7B" w:rsidP="004B1B7B">
      <w:pPr>
        <w:spacing w:before="55" w:after="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4B1B7B">
        <w:rPr>
          <w:rFonts w:ascii="Arial" w:hAnsi="Arial" w:cs="Arial"/>
          <w:b/>
          <w:spacing w:val="-2"/>
          <w:sz w:val="24"/>
          <w:szCs w:val="24"/>
        </w:rPr>
        <w:t>Example of a FAR Compliant Indirect Cost Rate Schedule</w:t>
      </w:r>
      <w:r>
        <w:rPr>
          <w:rFonts w:ascii="Arial" w:hAnsi="Arial" w:cs="Arial"/>
          <w:b/>
          <w:spacing w:val="-2"/>
          <w:sz w:val="24"/>
          <w:szCs w:val="24"/>
        </w:rPr>
        <w:br/>
      </w:r>
      <w:r w:rsidRPr="004B1B7B">
        <w:rPr>
          <w:rFonts w:ascii="Arial" w:hAnsi="Arial" w:cs="Arial"/>
          <w:b/>
          <w:spacing w:val="-2"/>
        </w:rPr>
        <w:t>Sample Consulting Company</w:t>
      </w:r>
    </w:p>
    <w:p w14:paraId="52446D76" w14:textId="77777777" w:rsidR="004B1B7B" w:rsidRPr="00B50C8A" w:rsidRDefault="004B1B7B" w:rsidP="004B1B7B">
      <w:pPr>
        <w:spacing w:before="55"/>
        <w:ind w:left="540"/>
        <w:rPr>
          <w:rFonts w:ascii="Arial" w:eastAsia="Book Antiqua" w:hAnsi="Arial" w:cs="Arial"/>
          <w:sz w:val="18"/>
          <w:szCs w:val="18"/>
        </w:rPr>
      </w:pPr>
      <w:r w:rsidRPr="00B50C8A">
        <w:rPr>
          <w:rFonts w:ascii="Arial" w:hAnsi="Arial" w:cs="Arial"/>
          <w:b/>
          <w:spacing w:val="-1"/>
          <w:sz w:val="18"/>
          <w:szCs w:val="18"/>
        </w:rPr>
        <w:t>Statement</w:t>
      </w:r>
      <w:r w:rsidRPr="00B50C8A">
        <w:rPr>
          <w:rFonts w:ascii="Arial" w:hAnsi="Arial" w:cs="Arial"/>
          <w:b/>
          <w:spacing w:val="4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2"/>
          <w:sz w:val="18"/>
          <w:szCs w:val="18"/>
        </w:rPr>
        <w:t>of</w:t>
      </w:r>
      <w:r w:rsidRPr="00B50C8A">
        <w:rPr>
          <w:rFonts w:ascii="Arial" w:hAnsi="Arial" w:cs="Arial"/>
          <w:b/>
          <w:spacing w:val="4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2"/>
          <w:sz w:val="18"/>
          <w:szCs w:val="18"/>
        </w:rPr>
        <w:t>Direct</w:t>
      </w:r>
      <w:r w:rsidRPr="00B50C8A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Labor,</w:t>
      </w:r>
      <w:r w:rsidRPr="00B50C8A">
        <w:rPr>
          <w:rFonts w:ascii="Arial" w:hAnsi="Arial" w:cs="Arial"/>
          <w:b/>
          <w:spacing w:val="5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2"/>
          <w:sz w:val="18"/>
          <w:szCs w:val="18"/>
        </w:rPr>
        <w:t>Fringe</w:t>
      </w:r>
      <w:r w:rsidRPr="00B50C8A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2"/>
          <w:sz w:val="18"/>
          <w:szCs w:val="18"/>
        </w:rPr>
        <w:t>Benefits,</w:t>
      </w:r>
      <w:r w:rsidRPr="00B50C8A">
        <w:rPr>
          <w:rFonts w:ascii="Arial" w:hAnsi="Arial" w:cs="Arial"/>
          <w:b/>
          <w:spacing w:val="5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and</w:t>
      </w:r>
      <w:r w:rsidRPr="00B50C8A">
        <w:rPr>
          <w:rFonts w:ascii="Arial" w:hAnsi="Arial" w:cs="Arial"/>
          <w:b/>
          <w:spacing w:val="5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General</w:t>
      </w:r>
      <w:r w:rsidRPr="00B50C8A">
        <w:rPr>
          <w:rFonts w:ascii="Arial" w:hAnsi="Arial" w:cs="Arial"/>
          <w:b/>
          <w:spacing w:val="39"/>
          <w:w w:val="101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Overhead</w:t>
      </w:r>
      <w:r w:rsidRPr="00B50C8A">
        <w:rPr>
          <w:rFonts w:ascii="Arial" w:hAnsi="Arial" w:cs="Arial"/>
          <w:b/>
          <w:sz w:val="18"/>
          <w:szCs w:val="18"/>
        </w:rPr>
        <w:t xml:space="preserve"> f</w:t>
      </w:r>
      <w:r w:rsidRPr="00B50C8A">
        <w:rPr>
          <w:rFonts w:ascii="Arial" w:hAnsi="Arial" w:cs="Arial"/>
          <w:b/>
          <w:spacing w:val="-2"/>
          <w:sz w:val="18"/>
          <w:szCs w:val="18"/>
        </w:rPr>
        <w:t>or</w:t>
      </w:r>
      <w:r w:rsidRPr="00B50C8A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2"/>
          <w:sz w:val="18"/>
          <w:szCs w:val="18"/>
        </w:rPr>
        <w:t>the</w:t>
      </w:r>
      <w:r w:rsidRPr="00B50C8A">
        <w:rPr>
          <w:rFonts w:ascii="Arial" w:hAnsi="Arial" w:cs="Arial"/>
          <w:b/>
          <w:spacing w:val="4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Year</w:t>
      </w:r>
      <w:r w:rsidRPr="00B50C8A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Ended</w:t>
      </w:r>
      <w:r w:rsidRPr="00B50C8A">
        <w:rPr>
          <w:rFonts w:ascii="Arial" w:hAnsi="Arial" w:cs="Arial"/>
          <w:b/>
          <w:spacing w:val="4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December</w:t>
      </w:r>
      <w:r w:rsidRPr="00B50C8A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31,</w:t>
      </w:r>
      <w:r w:rsidRPr="00B50C8A">
        <w:rPr>
          <w:rFonts w:ascii="Arial" w:hAnsi="Arial" w:cs="Arial"/>
          <w:b/>
          <w:spacing w:val="4"/>
          <w:sz w:val="18"/>
          <w:szCs w:val="18"/>
        </w:rPr>
        <w:t xml:space="preserve"> </w:t>
      </w:r>
      <w:r w:rsidRPr="00B50C8A">
        <w:rPr>
          <w:rFonts w:ascii="Arial" w:hAnsi="Arial" w:cs="Arial"/>
          <w:b/>
          <w:spacing w:val="-1"/>
          <w:sz w:val="18"/>
          <w:szCs w:val="18"/>
        </w:rPr>
        <w:t>20xx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2105"/>
        <w:gridCol w:w="1261"/>
        <w:gridCol w:w="1335"/>
        <w:gridCol w:w="1198"/>
        <w:gridCol w:w="1261"/>
        <w:gridCol w:w="1274"/>
        <w:gridCol w:w="1166"/>
      </w:tblGrid>
      <w:tr w:rsidR="004B1B7B" w:rsidRPr="004B1B7B" w14:paraId="58359908" w14:textId="77777777" w:rsidTr="004B1B7B">
        <w:trPr>
          <w:trHeight w:val="601"/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76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Description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21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General Ledger Balance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D9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Unallowable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10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FAR Reference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74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Total Proposed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EA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Home Office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550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Field Office</w:t>
            </w:r>
          </w:p>
        </w:tc>
      </w:tr>
      <w:tr w:rsidR="004B1B7B" w:rsidRPr="004B1B7B" w14:paraId="5F1F7E2F" w14:textId="77777777" w:rsidTr="004B1B7B">
        <w:trPr>
          <w:trHeight w:hRule="exact" w:val="244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B3CA26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02FCCE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4D447D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ED56E2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CEFD55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7D8382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CEF305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B1B7B" w:rsidRPr="004B1B7B" w14:paraId="15F65B11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AA7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Direct Labor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57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$123,456,789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54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($934,568)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0F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(1)(15)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F18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$122,522,221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763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$85,765,555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582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$36,756,666 </w:t>
            </w:r>
          </w:p>
        </w:tc>
      </w:tr>
      <w:tr w:rsidR="004B1B7B" w:rsidRPr="004B1B7B" w14:paraId="590DF35E" w14:textId="77777777" w:rsidTr="004B1B7B">
        <w:trPr>
          <w:trHeight w:val="144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7104EC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7AC051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D4BE51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39FD9B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66F930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16835B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5E1232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B1B7B" w:rsidRPr="004B1B7B" w14:paraId="405DB462" w14:textId="77777777" w:rsidTr="004B1B7B">
        <w:trPr>
          <w:trHeight w:hRule="exact" w:val="300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E8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 xml:space="preserve">Fringe Benefits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0F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43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64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7F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3B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F7A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B1B7B" w:rsidRPr="004B1B7B" w14:paraId="4ACB4610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F0F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Vacation/Paid Leaves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3A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$17,283,950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87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05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94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$17,283,950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B3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$12,098,765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F4F8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$5,185,185 </w:t>
            </w:r>
          </w:p>
        </w:tc>
      </w:tr>
      <w:tr w:rsidR="004B1B7B" w:rsidRPr="004B1B7B" w14:paraId="0C76CC0E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A11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Payroll Taxes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C71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$1,530,864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28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($30,617)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58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 (15)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2D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$1,500,247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4B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$1,050,173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4DC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$450,074 </w:t>
            </w:r>
          </w:p>
        </w:tc>
      </w:tr>
      <w:tr w:rsidR="004B1B7B" w:rsidRPr="004B1B7B" w14:paraId="5BD189E0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E1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Medical Insurance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401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$10,864,197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D3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A0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49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$10,864,197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B7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$7,604,938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6888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$3,259,259 </w:t>
            </w:r>
          </w:p>
        </w:tc>
      </w:tr>
      <w:tr w:rsidR="004B1B7B" w:rsidRPr="004B1B7B" w14:paraId="04D88CC4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B7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401K Match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7C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$4,938,272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3F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7E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C5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$4,938,272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84D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$3,456,790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723E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$1,481,481 </w:t>
            </w:r>
          </w:p>
        </w:tc>
      </w:tr>
      <w:tr w:rsidR="004B1B7B" w:rsidRPr="004B1B7B" w14:paraId="76EEF899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F1D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Incentives and Bonus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57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$15,308,642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8E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($3,123,456)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148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(2)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A8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$12,185,186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AA9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$8,529,630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6C0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$3,655,556 </w:t>
            </w:r>
          </w:p>
        </w:tc>
      </w:tr>
      <w:tr w:rsidR="004B1B7B" w:rsidRPr="004B1B7B" w14:paraId="0CBE8469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98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Other Employee Benefits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B4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$2,515,280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0B1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($553,433)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748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(3)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78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$1,961,847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4A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$1,373,293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1D6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$588,554 </w:t>
            </w:r>
          </w:p>
        </w:tc>
      </w:tr>
      <w:tr w:rsidR="004B1B7B" w:rsidRPr="004B1B7B" w14:paraId="2B17442D" w14:textId="77777777" w:rsidTr="004B1B7B">
        <w:trPr>
          <w:trHeight w:val="313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60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Total Fringe Benefits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84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$52,441,206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643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($3,707,506)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C3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885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$48,733,700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03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$34,113,590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B033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$14,620,110 </w:t>
            </w:r>
          </w:p>
        </w:tc>
      </w:tr>
      <w:tr w:rsidR="004B1B7B" w:rsidRPr="004B1B7B" w14:paraId="59D4A4C4" w14:textId="77777777" w:rsidTr="004B1B7B">
        <w:trPr>
          <w:trHeight w:val="52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B1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 xml:space="preserve">General &amp; Administrative Overhead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C9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7F7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A4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1C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26D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0359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B1B7B" w:rsidRPr="004B1B7B" w14:paraId="1B0D311B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4E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Indirect Overhead Labor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31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$72,696,030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80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($4,452,541)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A1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(1)(2)(4)(15)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76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$68,243,489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4D5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$65,790,948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2CE9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$2,452,541 </w:t>
            </w:r>
          </w:p>
        </w:tc>
      </w:tr>
      <w:tr w:rsidR="004B1B7B" w:rsidRPr="004B1B7B" w14:paraId="1F28A7F5" w14:textId="77777777" w:rsidTr="004B1B7B">
        <w:trPr>
          <w:trHeight w:val="6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B0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Purchased Labor/Subconsultants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4A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$22,433,019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6A7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($22,433,019)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29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(5)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49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6F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 -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675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 - </w:t>
            </w:r>
          </w:p>
        </w:tc>
      </w:tr>
      <w:tr w:rsidR="004B1B7B" w:rsidRPr="004B1B7B" w14:paraId="46EAFA40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C7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Office Rent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355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$12,345,679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B15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($987,654)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1B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(6)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C5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$11,358,025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A6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$11,038,025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6F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$320,000 </w:t>
            </w:r>
          </w:p>
        </w:tc>
      </w:tr>
      <w:tr w:rsidR="004B1B7B" w:rsidRPr="004B1B7B" w14:paraId="367F9B9D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A2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Supplies &amp; Utilities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ED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$5,753,086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6A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63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A0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$5,753,086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BE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$4,027,160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05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$1,725,926 </w:t>
            </w:r>
          </w:p>
        </w:tc>
      </w:tr>
      <w:tr w:rsidR="004B1B7B" w:rsidRPr="004B1B7B" w14:paraId="3279AD18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8F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Postage and Shipping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1F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$1,770,000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5D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$321,456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85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(5)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A2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$2,091,456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82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$1,464,019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52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$627,437 </w:t>
            </w:r>
          </w:p>
        </w:tc>
      </w:tr>
      <w:tr w:rsidR="004B1B7B" w:rsidRPr="004B1B7B" w14:paraId="7A9D4896" w14:textId="77777777" w:rsidTr="004B1B7B">
        <w:trPr>
          <w:trHeight w:val="6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DE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Equipment and Maintenance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62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$3,812,346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B0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3F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68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$3,812,346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4B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$2,512,789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C1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$1,299,557 </w:t>
            </w:r>
          </w:p>
        </w:tc>
      </w:tr>
      <w:tr w:rsidR="004B1B7B" w:rsidRPr="004B1B7B" w14:paraId="46B636AD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ED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Depreciation Expense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AC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$6,202,469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76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($1,345,678)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6F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(7)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98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$4,856,791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88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$3,205,482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FE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$1,651,309 </w:t>
            </w:r>
          </w:p>
        </w:tc>
      </w:tr>
      <w:tr w:rsidR="004B1B7B" w:rsidRPr="004B1B7B" w14:paraId="009BD7D9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FD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Interest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E0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$123,456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82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($123,456)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5D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(8)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36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F0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36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</w:tr>
      <w:tr w:rsidR="004B1B7B" w:rsidRPr="004B1B7B" w14:paraId="67A61711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E4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Dues and Subscription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3B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$123,456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93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($12,345)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71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(9)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18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$111,111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7D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$77,778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5C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$33,333 </w:t>
            </w:r>
          </w:p>
        </w:tc>
      </w:tr>
      <w:tr w:rsidR="004B1B7B" w:rsidRPr="004B1B7B" w14:paraId="3B9926F1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BB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Advertising &amp; Marketing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5A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$427,406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36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($45,678)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EDA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(10)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CC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$381,728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53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$267,210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19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$114,518 </w:t>
            </w:r>
          </w:p>
        </w:tc>
      </w:tr>
      <w:tr w:rsidR="004B1B7B" w:rsidRPr="004B1B7B" w14:paraId="38C18905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C6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Vehicles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E8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$5,896,123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9A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($147,403)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E0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(5)(11)(14)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0B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$5,748,720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01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$4,024,104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B6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$1,724,616 </w:t>
            </w:r>
          </w:p>
        </w:tc>
      </w:tr>
      <w:tr w:rsidR="004B1B7B" w:rsidRPr="004B1B7B" w14:paraId="51966414" w14:textId="77777777" w:rsidTr="004B1B7B">
        <w:trPr>
          <w:trHeight w:hRule="exact"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3C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Bad debts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77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$12,345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CB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($12,345)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75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(12)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B3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16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792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</w:tr>
      <w:tr w:rsidR="004B1B7B" w:rsidRPr="004B1B7B" w14:paraId="051D03A8" w14:textId="77777777" w:rsidTr="004B1B7B">
        <w:trPr>
          <w:trHeight w:val="545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D8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b/>
                <w:bCs/>
                <w:color w:val="000000"/>
                <w:sz w:val="19"/>
                <w:szCs w:val="19"/>
              </w:rPr>
              <w:t>Legal and Accounting Services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A2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$3,713,580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C2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($222,815)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18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(13)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C8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$3,490,765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78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$3,490,765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1C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</w:tr>
      <w:tr w:rsidR="004B1B7B" w:rsidRPr="004B1B7B" w14:paraId="3B5E4CAC" w14:textId="77777777" w:rsidTr="004B1B7B">
        <w:trPr>
          <w:trHeight w:hRule="exact" w:val="30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A05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Fines and Penalties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F2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$80,000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7A0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ind w:firstLineChars="100" w:firstLine="190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($80,000)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CA3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(16)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F6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54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816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$ -</w:t>
            </w:r>
          </w:p>
        </w:tc>
      </w:tr>
      <w:tr w:rsidR="004B1B7B" w:rsidRPr="004B1B7B" w14:paraId="0282EFAF" w14:textId="77777777" w:rsidTr="004B1B7B">
        <w:trPr>
          <w:trHeight w:val="485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3A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Total General &amp; Admin. Overhead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12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$135,388,995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A5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FF0000"/>
                <w:sz w:val="19"/>
                <w:szCs w:val="19"/>
              </w:rPr>
              <w:t>($29,541,478)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518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59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$105,847,517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EA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$95,898,280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EB7D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$9,949,237 </w:t>
            </w:r>
          </w:p>
        </w:tc>
      </w:tr>
      <w:tr w:rsidR="004B1B7B" w:rsidRPr="004B1B7B" w14:paraId="65E88814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B4C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Total Indirect Costs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57C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FB8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7D9B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894A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$154,581,216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799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$130,011,870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BFDE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 xml:space="preserve">$24,569,347 </w:t>
            </w:r>
          </w:p>
        </w:tc>
      </w:tr>
      <w:tr w:rsidR="004B1B7B" w:rsidRPr="004B1B7B" w14:paraId="0B9A2EB1" w14:textId="77777777" w:rsidTr="004B1B7B">
        <w:trPr>
          <w:trHeight w:val="300"/>
          <w:jc w:val="center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5EC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Indirect Cost Rates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C744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66C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A97F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58BC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126.17%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F7D7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151.59%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141" w14:textId="77777777" w:rsidR="004B1B7B" w:rsidRPr="004B1B7B" w:rsidRDefault="004B1B7B" w:rsidP="004B1B7B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</w:pPr>
            <w:r w:rsidRPr="004B1B7B">
              <w:rPr>
                <w:rFonts w:ascii="Book Antiqua" w:eastAsia="Times New Roman" w:hAnsi="Book Antiqua" w:cs="Times New Roman"/>
                <w:color w:val="000000"/>
                <w:sz w:val="19"/>
                <w:szCs w:val="19"/>
              </w:rPr>
              <w:t>66.84%</w:t>
            </w:r>
          </w:p>
        </w:tc>
      </w:tr>
    </w:tbl>
    <w:p w14:paraId="68B36CBB" w14:textId="77777777" w:rsidR="004B1B7B" w:rsidRPr="00B50C8A" w:rsidRDefault="004B1B7B" w:rsidP="004B1B7B">
      <w:pPr>
        <w:ind w:left="1080"/>
        <w:rPr>
          <w:rFonts w:ascii="Arial" w:eastAsia="Book Antiqua" w:hAnsi="Arial" w:cs="Arial"/>
        </w:rPr>
      </w:pPr>
      <w:r w:rsidRPr="00B50C8A">
        <w:rPr>
          <w:rFonts w:ascii="Arial" w:hAnsi="Arial" w:cs="Arial"/>
          <w:b/>
          <w:spacing w:val="-2"/>
        </w:rPr>
        <w:lastRenderedPageBreak/>
        <w:t>FAR</w:t>
      </w:r>
      <w:r w:rsidRPr="00B50C8A">
        <w:rPr>
          <w:rFonts w:ascii="Arial" w:hAnsi="Arial" w:cs="Arial"/>
          <w:b/>
          <w:spacing w:val="8"/>
        </w:rPr>
        <w:t xml:space="preserve"> </w:t>
      </w:r>
      <w:r w:rsidRPr="00B50C8A">
        <w:rPr>
          <w:rFonts w:ascii="Arial" w:hAnsi="Arial" w:cs="Arial"/>
          <w:b/>
          <w:spacing w:val="-2"/>
        </w:rPr>
        <w:t>References:</w:t>
      </w:r>
    </w:p>
    <w:p w14:paraId="465F2E0E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60"/>
        </w:tabs>
        <w:spacing w:before="11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7"/>
        </w:rPr>
        <w:t xml:space="preserve"> </w:t>
      </w:r>
      <w:r w:rsidRPr="00B50C8A">
        <w:rPr>
          <w:rFonts w:ascii="Arial" w:hAnsi="Arial" w:cs="Arial"/>
          <w:spacing w:val="-1"/>
        </w:rPr>
        <w:t>31.202:</w:t>
      </w:r>
      <w:r w:rsidRPr="00B50C8A">
        <w:rPr>
          <w:rFonts w:ascii="Arial" w:hAnsi="Arial" w:cs="Arial"/>
          <w:spacing w:val="6"/>
        </w:rPr>
        <w:t xml:space="preserve"> </w:t>
      </w:r>
      <w:r w:rsidRPr="00B50C8A">
        <w:rPr>
          <w:rFonts w:ascii="Arial" w:hAnsi="Arial" w:cs="Arial"/>
          <w:spacing w:val="-2"/>
        </w:rPr>
        <w:t>Uncompensated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2"/>
        </w:rPr>
        <w:t>overtime.</w:t>
      </w:r>
    </w:p>
    <w:p w14:paraId="4C76AD0C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31.205-6: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Profit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distribution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excess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</w:rPr>
        <w:t>of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the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reasonable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compensation.</w:t>
      </w:r>
    </w:p>
    <w:p w14:paraId="7FD976A7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31.205-46,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31.205-14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&amp;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31.205-51: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Meals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not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for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valid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business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2"/>
        </w:rPr>
        <w:t>purposes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associated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with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lobbying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lacking</w:t>
      </w:r>
      <w:r w:rsidRPr="00B50C8A">
        <w:rPr>
          <w:rFonts w:ascii="Arial" w:hAnsi="Arial" w:cs="Arial"/>
          <w:spacing w:val="57"/>
          <w:w w:val="101"/>
        </w:rPr>
        <w:t xml:space="preserve"> </w:t>
      </w:r>
      <w:r w:rsidRPr="00B50C8A">
        <w:rPr>
          <w:rFonts w:ascii="Arial" w:hAnsi="Arial" w:cs="Arial"/>
          <w:spacing w:val="-1"/>
        </w:rPr>
        <w:t>adequate</w:t>
      </w:r>
      <w:r w:rsidRPr="00B50C8A">
        <w:rPr>
          <w:rFonts w:ascii="Arial" w:hAnsi="Arial" w:cs="Arial"/>
          <w:spacing w:val="6"/>
        </w:rPr>
        <w:t xml:space="preserve"> </w:t>
      </w:r>
      <w:proofErr w:type="gramStart"/>
      <w:r w:rsidRPr="00B50C8A">
        <w:rPr>
          <w:rFonts w:ascii="Arial" w:hAnsi="Arial" w:cs="Arial"/>
          <w:spacing w:val="-1"/>
        </w:rPr>
        <w:t>support</w:t>
      </w:r>
      <w:proofErr w:type="gramEnd"/>
    </w:p>
    <w:p w14:paraId="54A9E7F1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31.201-2: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Administrative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2"/>
        </w:rPr>
        <w:t>staff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billed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to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2"/>
        </w:rPr>
        <w:t>projects/clients.</w:t>
      </w:r>
    </w:p>
    <w:p w14:paraId="1533EB62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31.201-2: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Subconsultant</w:t>
      </w:r>
      <w:r w:rsidRPr="00B50C8A">
        <w:rPr>
          <w:rFonts w:ascii="Arial" w:hAnsi="Arial" w:cs="Arial"/>
        </w:rPr>
        <w:t xml:space="preserve"> </w:t>
      </w:r>
      <w:r w:rsidRPr="00B50C8A">
        <w:rPr>
          <w:rFonts w:ascii="Arial" w:hAnsi="Arial" w:cs="Arial"/>
          <w:spacing w:val="-1"/>
        </w:rPr>
        <w:t>labor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other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2"/>
        </w:rPr>
        <w:t>direct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billed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to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paid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by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2"/>
        </w:rPr>
        <w:t>contracts/clients.</w:t>
      </w:r>
    </w:p>
    <w:p w14:paraId="03D9D87C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31.205-36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31.205-17: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Capital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lease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2"/>
        </w:rPr>
        <w:t>costs,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2"/>
        </w:rPr>
        <w:t>rent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</w:rPr>
        <w:t>paid</w:t>
      </w:r>
      <w:r w:rsidRPr="00B50C8A">
        <w:rPr>
          <w:rFonts w:ascii="Arial" w:hAnsi="Arial" w:cs="Arial"/>
          <w:spacing w:val="2"/>
        </w:rPr>
        <w:t xml:space="preserve"> </w:t>
      </w:r>
      <w:proofErr w:type="gramStart"/>
      <w:r w:rsidRPr="00B50C8A">
        <w:rPr>
          <w:rFonts w:ascii="Arial" w:hAnsi="Arial" w:cs="Arial"/>
          <w:spacing w:val="-1"/>
        </w:rPr>
        <w:t>in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excess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of</w:t>
      </w:r>
      <w:proofErr w:type="gramEnd"/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2"/>
        </w:rPr>
        <w:t>reasonable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2"/>
        </w:rPr>
        <w:t>costs,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idle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facilities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capacity costs.</w:t>
      </w:r>
    </w:p>
    <w:p w14:paraId="5752C445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31.201-2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&amp;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31.205-6: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2"/>
        </w:rPr>
        <w:t>relates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to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personal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use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by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2"/>
        </w:rPr>
        <w:t>employees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luxury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vehicles.</w:t>
      </w:r>
    </w:p>
    <w:p w14:paraId="1D405FE3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31.205-20: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2"/>
        </w:rPr>
        <w:t>Interest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other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financial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</w:rPr>
        <w:t>not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allowable.</w:t>
      </w:r>
    </w:p>
    <w:p w14:paraId="49AB529E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58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6"/>
        </w:rPr>
        <w:t xml:space="preserve"> </w:t>
      </w:r>
      <w:r w:rsidRPr="00B50C8A">
        <w:rPr>
          <w:rFonts w:ascii="Arial" w:hAnsi="Arial" w:cs="Arial"/>
          <w:spacing w:val="-1"/>
        </w:rPr>
        <w:t>31.201-2:</w:t>
      </w:r>
      <w:r w:rsidRPr="00B50C8A">
        <w:rPr>
          <w:rFonts w:ascii="Arial" w:hAnsi="Arial" w:cs="Arial"/>
          <w:spacing w:val="6"/>
        </w:rPr>
        <w:t xml:space="preserve"> </w:t>
      </w:r>
      <w:r w:rsidRPr="00B50C8A">
        <w:rPr>
          <w:rFonts w:ascii="Arial" w:hAnsi="Arial" w:cs="Arial"/>
          <w:spacing w:val="-2"/>
        </w:rPr>
        <w:t>Non-</w:t>
      </w:r>
      <w:proofErr w:type="gramStart"/>
      <w:r w:rsidRPr="00B50C8A">
        <w:rPr>
          <w:rFonts w:ascii="Arial" w:hAnsi="Arial" w:cs="Arial"/>
          <w:spacing w:val="-2"/>
        </w:rPr>
        <w:t>business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related</w:t>
      </w:r>
      <w:proofErr w:type="gramEnd"/>
      <w:r w:rsidRPr="00B50C8A">
        <w:rPr>
          <w:rFonts w:ascii="Arial" w:hAnsi="Arial" w:cs="Arial"/>
          <w:spacing w:val="6"/>
        </w:rPr>
        <w:t xml:space="preserve"> </w:t>
      </w:r>
      <w:r w:rsidRPr="00B50C8A">
        <w:rPr>
          <w:rFonts w:ascii="Arial" w:hAnsi="Arial" w:cs="Arial"/>
          <w:spacing w:val="-2"/>
        </w:rPr>
        <w:t>dues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subscriptions.</w:t>
      </w:r>
    </w:p>
    <w:p w14:paraId="4C8D585B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89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31.205-1: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 xml:space="preserve">for </w:t>
      </w:r>
      <w:r w:rsidRPr="00B50C8A">
        <w:rPr>
          <w:rFonts w:ascii="Arial" w:hAnsi="Arial" w:cs="Arial"/>
          <w:spacing w:val="-2"/>
        </w:rPr>
        <w:t>advertisement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public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relations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trade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show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2"/>
        </w:rPr>
        <w:t>expense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including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labor.</w:t>
      </w:r>
    </w:p>
    <w:p w14:paraId="6583768B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89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31.205-46(d)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31.205-6(m)(2):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Personal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use</w:t>
      </w:r>
      <w:r w:rsidRPr="00B50C8A">
        <w:rPr>
          <w:rFonts w:ascii="Arial" w:hAnsi="Arial" w:cs="Arial"/>
        </w:rPr>
        <w:t xml:space="preserve"> of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vehicle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lack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of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mileage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logs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business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2"/>
        </w:rPr>
        <w:t>purpose.</w:t>
      </w:r>
    </w:p>
    <w:p w14:paraId="7F67AA61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89"/>
        </w:tabs>
        <w:spacing w:before="13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31-205-3:</w:t>
      </w:r>
      <w:r w:rsidRPr="00B50C8A">
        <w:rPr>
          <w:rFonts w:ascii="Arial" w:hAnsi="Arial" w:cs="Arial"/>
        </w:rPr>
        <w:t xml:space="preserve"> </w:t>
      </w:r>
      <w:r w:rsidRPr="00B50C8A">
        <w:rPr>
          <w:rFonts w:ascii="Arial" w:hAnsi="Arial" w:cs="Arial"/>
          <w:spacing w:val="8"/>
        </w:rPr>
        <w:t xml:space="preserve"> </w:t>
      </w:r>
      <w:r w:rsidRPr="00B50C8A">
        <w:rPr>
          <w:rFonts w:ascii="Arial" w:hAnsi="Arial" w:cs="Arial"/>
          <w:spacing w:val="-1"/>
        </w:rPr>
        <w:t>Bad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2"/>
        </w:rPr>
        <w:t>debts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collection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2"/>
        </w:rPr>
        <w:t>costs.</w:t>
      </w:r>
    </w:p>
    <w:p w14:paraId="47003D0E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91"/>
        </w:tabs>
        <w:spacing w:before="14" w:after="0" w:line="263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31.205-27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31.205-47: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Reorganization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capital</w:t>
      </w:r>
      <w:r w:rsidRPr="00B50C8A">
        <w:rPr>
          <w:rFonts w:ascii="Arial" w:hAnsi="Arial" w:cs="Arial"/>
          <w:spacing w:val="7"/>
        </w:rPr>
        <w:t xml:space="preserve"> </w:t>
      </w:r>
      <w:r w:rsidRPr="00B50C8A">
        <w:rPr>
          <w:rFonts w:ascii="Arial" w:hAnsi="Arial" w:cs="Arial"/>
          <w:spacing w:val="-1"/>
        </w:rPr>
        <w:t>raising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2"/>
        </w:rPr>
        <w:t>related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incurred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in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connection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with</w:t>
      </w:r>
      <w:r w:rsidRPr="00B50C8A">
        <w:rPr>
          <w:rFonts w:ascii="Arial" w:hAnsi="Arial" w:cs="Arial"/>
          <w:spacing w:val="65"/>
          <w:w w:val="101"/>
        </w:rPr>
        <w:t xml:space="preserve"> </w:t>
      </w:r>
      <w:r w:rsidRPr="00B50C8A">
        <w:rPr>
          <w:rFonts w:ascii="Arial" w:hAnsi="Arial" w:cs="Arial"/>
          <w:spacing w:val="-1"/>
        </w:rPr>
        <w:t>violation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</w:rPr>
        <w:t xml:space="preserve">of  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</w:rPr>
        <w:t>a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law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 xml:space="preserve">or </w:t>
      </w:r>
      <w:r w:rsidRPr="00B50C8A">
        <w:rPr>
          <w:rFonts w:ascii="Arial" w:hAnsi="Arial" w:cs="Arial"/>
          <w:spacing w:val="-2"/>
        </w:rPr>
        <w:t>regulation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by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the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consultant.</w:t>
      </w:r>
    </w:p>
    <w:p w14:paraId="6F3318A0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89"/>
        </w:tabs>
        <w:spacing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31.205-46: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Unreasonable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and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not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2"/>
        </w:rPr>
        <w:t>supported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by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2"/>
        </w:rPr>
        <w:t>documents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lack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</w:rPr>
        <w:t>of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business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2"/>
        </w:rPr>
        <w:t>purpose.</w:t>
      </w:r>
    </w:p>
    <w:p w14:paraId="1644AA76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89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31.201-6(a)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</w:rPr>
        <w:t>&amp;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2"/>
        </w:rPr>
        <w:t>CAS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405-40: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1"/>
        </w:rPr>
        <w:t>Labor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costs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associated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  <w:spacing w:val="-1"/>
        </w:rPr>
        <w:t>with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unallowable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costs.</w:t>
      </w:r>
    </w:p>
    <w:p w14:paraId="634C3FEA" w14:textId="77777777" w:rsidR="004B1B7B" w:rsidRPr="00B50C8A" w:rsidRDefault="004B1B7B" w:rsidP="004B1B7B">
      <w:pPr>
        <w:widowControl w:val="0"/>
        <w:numPr>
          <w:ilvl w:val="0"/>
          <w:numId w:val="1"/>
        </w:numPr>
        <w:tabs>
          <w:tab w:val="left" w:pos="489"/>
        </w:tabs>
        <w:spacing w:before="14" w:after="0" w:line="240" w:lineRule="auto"/>
        <w:ind w:left="1350" w:hanging="270"/>
        <w:rPr>
          <w:rFonts w:ascii="Arial" w:eastAsia="Book Antiqua" w:hAnsi="Arial" w:cs="Arial"/>
        </w:rPr>
      </w:pPr>
      <w:r w:rsidRPr="00B50C8A">
        <w:rPr>
          <w:rFonts w:ascii="Arial" w:hAnsi="Arial" w:cs="Arial"/>
          <w:spacing w:val="-2"/>
        </w:rPr>
        <w:t>FAR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31.205-15: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2"/>
        </w:rPr>
        <w:t>Fines</w:t>
      </w:r>
      <w:r w:rsidRPr="00B50C8A">
        <w:rPr>
          <w:rFonts w:ascii="Arial" w:hAnsi="Arial" w:cs="Arial"/>
          <w:spacing w:val="2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3"/>
        </w:rPr>
        <w:t xml:space="preserve"> </w:t>
      </w:r>
      <w:r w:rsidRPr="00B50C8A">
        <w:rPr>
          <w:rFonts w:ascii="Arial" w:hAnsi="Arial" w:cs="Arial"/>
          <w:spacing w:val="-1"/>
        </w:rPr>
        <w:t>penalties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resulting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2"/>
        </w:rPr>
        <w:t>from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  <w:spacing w:val="-1"/>
        </w:rPr>
        <w:t>violations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of</w:t>
      </w:r>
      <w:r w:rsidRPr="00B50C8A">
        <w:rPr>
          <w:rFonts w:ascii="Arial" w:hAnsi="Arial" w:cs="Arial"/>
          <w:spacing w:val="1"/>
        </w:rPr>
        <w:t xml:space="preserve"> </w:t>
      </w:r>
      <w:r w:rsidRPr="00B50C8A">
        <w:rPr>
          <w:rFonts w:ascii="Arial" w:hAnsi="Arial" w:cs="Arial"/>
          <w:spacing w:val="-1"/>
        </w:rPr>
        <w:t>laws</w:t>
      </w:r>
      <w:r w:rsidRPr="00B50C8A">
        <w:rPr>
          <w:rFonts w:ascii="Arial" w:hAnsi="Arial" w:cs="Arial"/>
          <w:spacing w:val="4"/>
        </w:rPr>
        <w:t xml:space="preserve"> </w:t>
      </w:r>
      <w:r w:rsidRPr="00B50C8A">
        <w:rPr>
          <w:rFonts w:ascii="Arial" w:hAnsi="Arial" w:cs="Arial"/>
        </w:rPr>
        <w:t>and</w:t>
      </w:r>
      <w:r w:rsidRPr="00B50C8A">
        <w:rPr>
          <w:rFonts w:ascii="Arial" w:hAnsi="Arial" w:cs="Arial"/>
          <w:spacing w:val="5"/>
        </w:rPr>
        <w:t xml:space="preserve"> </w:t>
      </w:r>
      <w:r w:rsidRPr="00B50C8A">
        <w:rPr>
          <w:rFonts w:ascii="Arial" w:hAnsi="Arial" w:cs="Arial"/>
          <w:spacing w:val="-2"/>
        </w:rPr>
        <w:t>regulations.</w:t>
      </w:r>
    </w:p>
    <w:p w14:paraId="29AF1D55" w14:textId="77777777" w:rsidR="001D7403" w:rsidRDefault="001D7403"/>
    <w:p w14:paraId="057817C3" w14:textId="77777777" w:rsidR="004B1B7B" w:rsidRDefault="004B1B7B"/>
    <w:sectPr w:rsidR="004B1B7B" w:rsidSect="004B1B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2CE6"/>
    <w:multiLevelType w:val="hybridMultilevel"/>
    <w:tmpl w:val="6ACCABBA"/>
    <w:lvl w:ilvl="0" w:tplc="72C8F61E">
      <w:start w:val="1"/>
      <w:numFmt w:val="decimal"/>
      <w:lvlText w:val="(%1)"/>
      <w:lvlJc w:val="left"/>
      <w:pPr>
        <w:ind w:left="457" w:hanging="206"/>
      </w:pPr>
      <w:rPr>
        <w:rFonts w:ascii="Book Antiqua" w:eastAsia="Book Antiqua" w:hAnsi="Book Antiqua" w:hint="default"/>
        <w:spacing w:val="-2"/>
        <w:w w:val="103"/>
        <w:sz w:val="10"/>
        <w:szCs w:val="10"/>
      </w:rPr>
    </w:lvl>
    <w:lvl w:ilvl="1" w:tplc="A0E885E6">
      <w:start w:val="1"/>
      <w:numFmt w:val="bullet"/>
      <w:lvlText w:val="•"/>
      <w:lvlJc w:val="left"/>
      <w:pPr>
        <w:ind w:left="1538" w:hanging="206"/>
      </w:pPr>
      <w:rPr>
        <w:rFonts w:hint="default"/>
      </w:rPr>
    </w:lvl>
    <w:lvl w:ilvl="2" w:tplc="48BA8E24">
      <w:start w:val="1"/>
      <w:numFmt w:val="bullet"/>
      <w:lvlText w:val="•"/>
      <w:lvlJc w:val="left"/>
      <w:pPr>
        <w:ind w:left="2618" w:hanging="206"/>
      </w:pPr>
      <w:rPr>
        <w:rFonts w:hint="default"/>
      </w:rPr>
    </w:lvl>
    <w:lvl w:ilvl="3" w:tplc="A57ACEEC">
      <w:start w:val="1"/>
      <w:numFmt w:val="bullet"/>
      <w:lvlText w:val="•"/>
      <w:lvlJc w:val="left"/>
      <w:pPr>
        <w:ind w:left="3698" w:hanging="206"/>
      </w:pPr>
      <w:rPr>
        <w:rFonts w:hint="default"/>
      </w:rPr>
    </w:lvl>
    <w:lvl w:ilvl="4" w:tplc="B0A8AF6A">
      <w:start w:val="1"/>
      <w:numFmt w:val="bullet"/>
      <w:lvlText w:val="•"/>
      <w:lvlJc w:val="left"/>
      <w:pPr>
        <w:ind w:left="4778" w:hanging="206"/>
      </w:pPr>
      <w:rPr>
        <w:rFonts w:hint="default"/>
      </w:rPr>
    </w:lvl>
    <w:lvl w:ilvl="5" w:tplc="E63E7534">
      <w:start w:val="1"/>
      <w:numFmt w:val="bullet"/>
      <w:lvlText w:val="•"/>
      <w:lvlJc w:val="left"/>
      <w:pPr>
        <w:ind w:left="5858" w:hanging="206"/>
      </w:pPr>
      <w:rPr>
        <w:rFonts w:hint="default"/>
      </w:rPr>
    </w:lvl>
    <w:lvl w:ilvl="6" w:tplc="C21403FC">
      <w:start w:val="1"/>
      <w:numFmt w:val="bullet"/>
      <w:lvlText w:val="•"/>
      <w:lvlJc w:val="left"/>
      <w:pPr>
        <w:ind w:left="6939" w:hanging="206"/>
      </w:pPr>
      <w:rPr>
        <w:rFonts w:hint="default"/>
      </w:rPr>
    </w:lvl>
    <w:lvl w:ilvl="7" w:tplc="19D6852E">
      <w:start w:val="1"/>
      <w:numFmt w:val="bullet"/>
      <w:lvlText w:val="•"/>
      <w:lvlJc w:val="left"/>
      <w:pPr>
        <w:ind w:left="8019" w:hanging="206"/>
      </w:pPr>
      <w:rPr>
        <w:rFonts w:hint="default"/>
      </w:rPr>
    </w:lvl>
    <w:lvl w:ilvl="8" w:tplc="D9E48586">
      <w:start w:val="1"/>
      <w:numFmt w:val="bullet"/>
      <w:lvlText w:val="•"/>
      <w:lvlJc w:val="left"/>
      <w:pPr>
        <w:ind w:left="9099" w:hanging="206"/>
      </w:pPr>
      <w:rPr>
        <w:rFonts w:hint="default"/>
      </w:rPr>
    </w:lvl>
  </w:abstractNum>
  <w:num w:numId="1" w16cid:durableId="213459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7B"/>
    <w:rsid w:val="001D7403"/>
    <w:rsid w:val="004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A66C"/>
  <w15:chartTrackingRefBased/>
  <w15:docId w15:val="{4D5C2028-50A0-43E6-BFB9-2D5DAFE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B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Kim, Robert C@DOT</cp:lastModifiedBy>
  <cp:revision>1</cp:revision>
  <dcterms:created xsi:type="dcterms:W3CDTF">2024-08-06T13:35:00Z</dcterms:created>
  <dcterms:modified xsi:type="dcterms:W3CDTF">2024-08-06T13:37:00Z</dcterms:modified>
</cp:coreProperties>
</file>