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8B6F" w14:textId="77777777" w:rsidR="008B30C3" w:rsidRDefault="008B30C3" w:rsidP="008B30C3">
      <w:pPr>
        <w:pStyle w:val="Heading2"/>
        <w:spacing w:before="0"/>
        <w:rPr>
          <w:sz w:val="44"/>
        </w:rPr>
      </w:pPr>
      <w:bookmarkStart w:id="0" w:name="_Toc161016881"/>
      <w:bookmarkStart w:id="1" w:name="_GoBack"/>
      <w:bookmarkEnd w:id="1"/>
      <w:r>
        <w:rPr>
          <w:sz w:val="44"/>
        </w:rPr>
        <w:t>Documenting</w:t>
      </w:r>
    </w:p>
    <w:p w14:paraId="708B1FCD" w14:textId="77777777" w:rsidR="00A944CA" w:rsidRDefault="00A944CA" w:rsidP="008B30C3">
      <w:pPr>
        <w:pStyle w:val="Heading2"/>
        <w:spacing w:before="0"/>
        <w:rPr>
          <w:rFonts w:eastAsia="Arial Unicode MS"/>
          <w:sz w:val="44"/>
        </w:rPr>
      </w:pPr>
      <w:r>
        <w:rPr>
          <w:sz w:val="44"/>
        </w:rPr>
        <w:t>Life</w:t>
      </w:r>
      <w:r w:rsidR="008B30C3">
        <w:rPr>
          <w:sz w:val="44"/>
        </w:rPr>
        <w:t>-</w:t>
      </w:r>
      <w:r>
        <w:rPr>
          <w:sz w:val="44"/>
        </w:rPr>
        <w:t>Cycle Cost Analysis for Pavements</w:t>
      </w:r>
      <w:bookmarkEnd w:id="0"/>
    </w:p>
    <w:p w14:paraId="244FECB1" w14:textId="77777777" w:rsidR="00A944CA" w:rsidRDefault="00B42CDD">
      <w:r>
        <w:pict w14:anchorId="3BCD8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4845_"/>
          </v:shape>
        </w:pict>
      </w:r>
    </w:p>
    <w:p w14:paraId="29380776" w14:textId="77777777" w:rsidR="00A944CA" w:rsidRDefault="00A944CA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</w:rPr>
      </w:pPr>
    </w:p>
    <w:p w14:paraId="65830671" w14:textId="77777777" w:rsidR="00A944CA" w:rsidRDefault="00A944CA" w:rsidP="00C2730E">
      <w:pPr>
        <w:pStyle w:val="Heading3"/>
      </w:pPr>
      <w:bookmarkStart w:id="2" w:name="_Toc161016882"/>
      <w:r>
        <w:t>Performing Life Cycle Cost Analysis</w:t>
      </w:r>
      <w:bookmarkEnd w:id="2"/>
    </w:p>
    <w:p w14:paraId="6E9B0F50" w14:textId="77777777" w:rsidR="00A944CA" w:rsidRDefault="00A944CA" w:rsidP="00C2730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6"/>
        </w:rPr>
      </w:pPr>
    </w:p>
    <w:p w14:paraId="4DA77057" w14:textId="77777777" w:rsidR="007321AB" w:rsidRDefault="004426CF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</w:t>
      </w:r>
      <w:r w:rsidRPr="007321AB">
        <w:rPr>
          <w:rFonts w:ascii="Times New Roman" w:hAnsi="Times New Roman" w:cs="Times New Roman"/>
          <w:i/>
          <w:sz w:val="22"/>
        </w:rPr>
        <w:t>Life-Cycle Cost Analysis</w:t>
      </w:r>
      <w:r w:rsidR="00C2730E">
        <w:rPr>
          <w:rFonts w:ascii="Times New Roman" w:hAnsi="Times New Roman" w:cs="Times New Roman"/>
          <w:i/>
          <w:sz w:val="22"/>
        </w:rPr>
        <w:t xml:space="preserve"> (LCCA)</w:t>
      </w:r>
      <w:r w:rsidRPr="007321AB">
        <w:rPr>
          <w:rFonts w:ascii="Times New Roman" w:hAnsi="Times New Roman" w:cs="Times New Roman"/>
          <w:i/>
          <w:sz w:val="22"/>
        </w:rPr>
        <w:t xml:space="preserve"> Procedures Manual</w:t>
      </w:r>
      <w:r>
        <w:rPr>
          <w:rFonts w:ascii="Times New Roman" w:hAnsi="Times New Roman" w:cs="Times New Roman"/>
          <w:sz w:val="22"/>
        </w:rPr>
        <w:t xml:space="preserve"> provides information and procedures needed for when and how to complete a life</w:t>
      </w:r>
      <w:r w:rsidR="00C2730E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cycle cost analysis for pavements</w:t>
      </w:r>
      <w:r>
        <w:rPr>
          <w:rFonts w:ascii="Times New Roman" w:hAnsi="Times New Roman" w:cs="Times New Roman"/>
          <w:i/>
          <w:sz w:val="22"/>
        </w:rPr>
        <w:t>.</w:t>
      </w:r>
      <w:r w:rsidRPr="007321AB">
        <w:rPr>
          <w:rFonts w:ascii="Times New Roman" w:hAnsi="Times New Roman" w:cs="Times New Roman"/>
          <w:sz w:val="22"/>
        </w:rPr>
        <w:t xml:space="preserve"> </w:t>
      </w:r>
      <w:r w:rsidR="007321AB" w:rsidRPr="007321AB">
        <w:rPr>
          <w:rFonts w:ascii="Times New Roman" w:hAnsi="Times New Roman" w:cs="Times New Roman"/>
          <w:sz w:val="22"/>
        </w:rPr>
        <w:t xml:space="preserve">The most recent version of </w:t>
      </w:r>
      <w:r w:rsidR="007321AB" w:rsidRPr="007321AB">
        <w:rPr>
          <w:rFonts w:ascii="Times New Roman" w:hAnsi="Times New Roman" w:cs="Times New Roman"/>
          <w:i/>
          <w:sz w:val="22"/>
        </w:rPr>
        <w:t>L</w:t>
      </w:r>
      <w:r w:rsidR="00C2730E">
        <w:rPr>
          <w:rFonts w:ascii="Times New Roman" w:hAnsi="Times New Roman" w:cs="Times New Roman"/>
          <w:i/>
          <w:sz w:val="22"/>
        </w:rPr>
        <w:t>CCA</w:t>
      </w:r>
      <w:r w:rsidR="007321AB" w:rsidRPr="007321AB">
        <w:rPr>
          <w:rFonts w:ascii="Times New Roman" w:hAnsi="Times New Roman" w:cs="Times New Roman"/>
          <w:i/>
          <w:sz w:val="22"/>
        </w:rPr>
        <w:t xml:space="preserve"> Procedures Manual</w:t>
      </w:r>
      <w:r w:rsidR="007321AB" w:rsidRPr="007321AB">
        <w:rPr>
          <w:rFonts w:ascii="Times New Roman" w:hAnsi="Times New Roman" w:cs="Times New Roman"/>
          <w:sz w:val="22"/>
        </w:rPr>
        <w:t xml:space="preserve"> and </w:t>
      </w:r>
      <w:proofErr w:type="spellStart"/>
      <w:r w:rsidR="007321AB" w:rsidRPr="007321AB">
        <w:rPr>
          <w:rFonts w:ascii="Times New Roman" w:hAnsi="Times New Roman" w:cs="Times New Roman"/>
          <w:i/>
          <w:sz w:val="22"/>
        </w:rPr>
        <w:t>RealCost</w:t>
      </w:r>
      <w:proofErr w:type="spellEnd"/>
      <w:r w:rsidR="007321AB" w:rsidRPr="007321AB">
        <w:rPr>
          <w:rFonts w:ascii="Times New Roman" w:hAnsi="Times New Roman" w:cs="Times New Roman"/>
          <w:sz w:val="22"/>
        </w:rPr>
        <w:t xml:space="preserve"> software program shall be used to ensure proper reference to current LCCA policies, data, procedures, and guidance.</w:t>
      </w:r>
    </w:p>
    <w:p w14:paraId="2B8D923F" w14:textId="77777777" w:rsidR="00A944CA" w:rsidRDefault="00A944CA" w:rsidP="00C2730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1305027" w14:textId="77777777" w:rsidR="00A944CA" w:rsidRDefault="00A944CA" w:rsidP="00C2730E">
      <w:pPr>
        <w:pStyle w:val="Heading3"/>
      </w:pPr>
      <w:bookmarkStart w:id="3" w:name="_Toc161016883"/>
      <w:r>
        <w:t>Documenting Life Cycle Costs</w:t>
      </w:r>
      <w:bookmarkEnd w:id="3"/>
    </w:p>
    <w:p w14:paraId="657FDD21" w14:textId="77777777" w:rsidR="00A944CA" w:rsidRDefault="00A944CA" w:rsidP="00C2730E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55329A8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a</w:t>
      </w:r>
      <w:r w:rsidR="008B30C3">
        <w:rPr>
          <w:rFonts w:ascii="Times New Roman" w:hAnsi="Times New Roman" w:cs="Times New Roman"/>
          <w:sz w:val="22"/>
        </w:rPr>
        <w:t>ddendum</w:t>
      </w:r>
      <w:r>
        <w:rPr>
          <w:rFonts w:ascii="Times New Roman" w:hAnsi="Times New Roman" w:cs="Times New Roman"/>
          <w:sz w:val="22"/>
        </w:rPr>
        <w:t xml:space="preserve"> provides a forma</w:t>
      </w:r>
      <w:r w:rsidR="00C2730E">
        <w:rPr>
          <w:rFonts w:ascii="Times New Roman" w:hAnsi="Times New Roman" w:cs="Times New Roman"/>
          <w:sz w:val="22"/>
        </w:rPr>
        <w:t>t for how to document the life-</w:t>
      </w:r>
      <w:r>
        <w:rPr>
          <w:rFonts w:ascii="Times New Roman" w:hAnsi="Times New Roman" w:cs="Times New Roman"/>
          <w:sz w:val="22"/>
        </w:rPr>
        <w:t xml:space="preserve">cycle cost analysis results into project initiation documents (PIDs) and project approval documents.  </w:t>
      </w:r>
      <w:r w:rsidR="00C1251E">
        <w:rPr>
          <w:rFonts w:ascii="Times New Roman" w:hAnsi="Times New Roman" w:cs="Times New Roman"/>
          <w:sz w:val="22"/>
        </w:rPr>
        <w:t>Attach the LCCA form to the project document and list each pavement alternative</w:t>
      </w:r>
      <w:r w:rsidR="00453EFF">
        <w:rPr>
          <w:rFonts w:ascii="Times New Roman" w:hAnsi="Times New Roman" w:cs="Times New Roman"/>
          <w:sz w:val="22"/>
        </w:rPr>
        <w:t>s</w:t>
      </w:r>
      <w:r w:rsidR="00C1251E">
        <w:rPr>
          <w:rFonts w:ascii="Times New Roman" w:hAnsi="Times New Roman" w:cs="Times New Roman"/>
          <w:sz w:val="22"/>
        </w:rPr>
        <w:t xml:space="preserve"> analyzed.</w:t>
      </w:r>
      <w:r w:rsidR="00AB479D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Alternative 1 should be </w:t>
      </w:r>
      <w:r w:rsidR="00453EFF">
        <w:rPr>
          <w:rFonts w:ascii="Times New Roman" w:hAnsi="Times New Roman" w:cs="Times New Roman"/>
          <w:sz w:val="22"/>
        </w:rPr>
        <w:t>identified</w:t>
      </w:r>
      <w:r>
        <w:rPr>
          <w:rFonts w:ascii="Times New Roman" w:hAnsi="Times New Roman" w:cs="Times New Roman"/>
          <w:sz w:val="22"/>
        </w:rPr>
        <w:t xml:space="preserve"> as follows:</w:t>
      </w:r>
    </w:p>
    <w:p w14:paraId="1271F6BD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391368EF" w14:textId="77777777" w:rsidR="00A944CA" w:rsidRDefault="00A944CA" w:rsidP="00C1251E">
      <w:pPr>
        <w:pStyle w:val="NormalWeb"/>
        <w:numPr>
          <w:ilvl w:val="0"/>
          <w:numId w:val="16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 PIDs, </w:t>
      </w:r>
      <w:r w:rsidR="00453EFF">
        <w:rPr>
          <w:rFonts w:ascii="Times New Roman" w:hAnsi="Times New Roman" w:cs="Times New Roman"/>
          <w:sz w:val="22"/>
        </w:rPr>
        <w:t xml:space="preserve">Alternative 1 is </w:t>
      </w:r>
      <w:r>
        <w:rPr>
          <w:rFonts w:ascii="Times New Roman" w:hAnsi="Times New Roman" w:cs="Times New Roman"/>
          <w:sz w:val="22"/>
        </w:rPr>
        <w:t>the pavement alternative</w:t>
      </w:r>
      <w:r w:rsidR="007132E2">
        <w:rPr>
          <w:rFonts w:ascii="Times New Roman" w:hAnsi="Times New Roman" w:cs="Times New Roman"/>
          <w:sz w:val="22"/>
        </w:rPr>
        <w:t xml:space="preserve"> </w:t>
      </w:r>
      <w:r w:rsidR="00AF5C7C">
        <w:rPr>
          <w:rFonts w:ascii="Times New Roman" w:hAnsi="Times New Roman" w:cs="Times New Roman"/>
          <w:sz w:val="22"/>
        </w:rPr>
        <w:t>selected</w:t>
      </w:r>
      <w:r w:rsidR="007132E2">
        <w:rPr>
          <w:rFonts w:ascii="Times New Roman" w:hAnsi="Times New Roman" w:cs="Times New Roman"/>
          <w:sz w:val="22"/>
        </w:rPr>
        <w:t xml:space="preserve"> </w:t>
      </w:r>
      <w:r w:rsidR="00AF5C7C">
        <w:rPr>
          <w:rFonts w:ascii="Times New Roman" w:hAnsi="Times New Roman" w:cs="Times New Roman"/>
          <w:sz w:val="22"/>
        </w:rPr>
        <w:t>for programming</w:t>
      </w:r>
      <w:r>
        <w:rPr>
          <w:rFonts w:ascii="Times New Roman" w:hAnsi="Times New Roman" w:cs="Times New Roman"/>
          <w:sz w:val="22"/>
        </w:rPr>
        <w:t>.</w:t>
      </w:r>
    </w:p>
    <w:p w14:paraId="38AD5C1C" w14:textId="77777777" w:rsidR="00A944CA" w:rsidRDefault="00A944CA" w:rsidP="00C1251E">
      <w:pPr>
        <w:pStyle w:val="NormalWeb"/>
        <w:numPr>
          <w:ilvl w:val="0"/>
          <w:numId w:val="16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 project approval documents, </w:t>
      </w:r>
      <w:r w:rsidR="00453EFF">
        <w:rPr>
          <w:rFonts w:ascii="Times New Roman" w:hAnsi="Times New Roman" w:cs="Times New Roman"/>
          <w:sz w:val="22"/>
        </w:rPr>
        <w:t>Alternative 1</w:t>
      </w:r>
      <w:r>
        <w:rPr>
          <w:rFonts w:ascii="Times New Roman" w:hAnsi="Times New Roman" w:cs="Times New Roman"/>
          <w:sz w:val="22"/>
        </w:rPr>
        <w:t xml:space="preserve"> the preferred </w:t>
      </w:r>
      <w:r w:rsidR="009021E8">
        <w:rPr>
          <w:rFonts w:ascii="Times New Roman" w:hAnsi="Times New Roman" w:cs="Times New Roman"/>
          <w:sz w:val="22"/>
        </w:rPr>
        <w:t xml:space="preserve">pavement </w:t>
      </w:r>
      <w:r>
        <w:rPr>
          <w:rFonts w:ascii="Times New Roman" w:hAnsi="Times New Roman" w:cs="Times New Roman"/>
          <w:sz w:val="22"/>
        </w:rPr>
        <w:t>alternative selected.</w:t>
      </w:r>
    </w:p>
    <w:p w14:paraId="6DB37C5B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19B69543" w14:textId="08845DEC" w:rsidR="00A944CA" w:rsidRDefault="005B665B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Typically,</w:t>
      </w:r>
      <w:r w:rsidR="00A944CA">
        <w:rPr>
          <w:rFonts w:ascii="Times New Roman" w:hAnsi="Times New Roman" w:cs="Times New Roman"/>
          <w:sz w:val="22"/>
        </w:rPr>
        <w:t xml:space="preserve"> two </w:t>
      </w:r>
      <w:r w:rsidR="009021E8">
        <w:rPr>
          <w:rFonts w:ascii="Times New Roman" w:hAnsi="Times New Roman" w:cs="Times New Roman"/>
          <w:sz w:val="22"/>
        </w:rPr>
        <w:t xml:space="preserve">or </w:t>
      </w:r>
      <w:r w:rsidR="00A944CA">
        <w:rPr>
          <w:rFonts w:ascii="Times New Roman" w:hAnsi="Times New Roman" w:cs="Times New Roman"/>
          <w:sz w:val="22"/>
        </w:rPr>
        <w:t xml:space="preserve">three </w:t>
      </w:r>
      <w:r w:rsidR="009021E8">
        <w:rPr>
          <w:rFonts w:ascii="Times New Roman" w:hAnsi="Times New Roman" w:cs="Times New Roman"/>
          <w:sz w:val="22"/>
        </w:rPr>
        <w:t xml:space="preserve">pavement </w:t>
      </w:r>
      <w:r w:rsidR="00A944CA">
        <w:rPr>
          <w:rFonts w:ascii="Times New Roman" w:hAnsi="Times New Roman" w:cs="Times New Roman"/>
          <w:sz w:val="22"/>
        </w:rPr>
        <w:t>alternatives will be analyzed at both the project initiation and project approval</w:t>
      </w:r>
      <w:r w:rsidR="00D33AD0">
        <w:rPr>
          <w:rFonts w:ascii="Times New Roman" w:hAnsi="Times New Roman" w:cs="Times New Roman"/>
          <w:sz w:val="22"/>
        </w:rPr>
        <w:t xml:space="preserve"> </w:t>
      </w:r>
      <w:r w:rsidR="00A944CA">
        <w:rPr>
          <w:rFonts w:ascii="Times New Roman" w:hAnsi="Times New Roman" w:cs="Times New Roman"/>
          <w:sz w:val="22"/>
        </w:rPr>
        <w:t>phase.</w:t>
      </w:r>
      <w:r w:rsidR="00D33AD0">
        <w:rPr>
          <w:rFonts w:ascii="Times New Roman" w:hAnsi="Times New Roman" w:cs="Times New Roman"/>
          <w:sz w:val="22"/>
        </w:rPr>
        <w:t xml:space="preserve">  More may be required in some instances.</w:t>
      </w:r>
      <w:r w:rsidR="00A944CA">
        <w:rPr>
          <w:rFonts w:ascii="Times New Roman" w:hAnsi="Times New Roman" w:cs="Times New Roman"/>
          <w:sz w:val="22"/>
        </w:rPr>
        <w:t xml:space="preserve">  The cost data shown on th</w:t>
      </w:r>
      <w:r w:rsidR="00D4000A">
        <w:rPr>
          <w:rFonts w:ascii="Times New Roman" w:hAnsi="Times New Roman" w:cs="Times New Roman"/>
          <w:sz w:val="22"/>
        </w:rPr>
        <w:t>e LCCA</w:t>
      </w:r>
      <w:r w:rsidR="00A944CA">
        <w:rPr>
          <w:rFonts w:ascii="Times New Roman" w:hAnsi="Times New Roman" w:cs="Times New Roman"/>
          <w:sz w:val="22"/>
        </w:rPr>
        <w:t xml:space="preserve"> form should be consistent with the input and output data from the Department</w:t>
      </w:r>
      <w:r w:rsidR="006C45DA">
        <w:rPr>
          <w:rFonts w:ascii="Times New Roman" w:hAnsi="Times New Roman" w:cs="Times New Roman"/>
          <w:sz w:val="22"/>
        </w:rPr>
        <w:t>’s</w:t>
      </w:r>
      <w:r w:rsidR="00A944CA">
        <w:rPr>
          <w:rFonts w:ascii="Times New Roman" w:hAnsi="Times New Roman" w:cs="Times New Roman"/>
          <w:sz w:val="22"/>
        </w:rPr>
        <w:t xml:space="preserve"> </w:t>
      </w:r>
      <w:r w:rsidR="009021E8">
        <w:rPr>
          <w:rFonts w:ascii="Times New Roman" w:hAnsi="Times New Roman" w:cs="Times New Roman"/>
          <w:sz w:val="22"/>
        </w:rPr>
        <w:t xml:space="preserve">current </w:t>
      </w:r>
      <w:r w:rsidR="00A944CA">
        <w:rPr>
          <w:rFonts w:ascii="Times New Roman" w:hAnsi="Times New Roman" w:cs="Times New Roman"/>
          <w:sz w:val="22"/>
        </w:rPr>
        <w:t xml:space="preserve">version of </w:t>
      </w:r>
      <w:proofErr w:type="spellStart"/>
      <w:r w:rsidR="00A944CA">
        <w:rPr>
          <w:rFonts w:ascii="Times New Roman" w:hAnsi="Times New Roman" w:cs="Times New Roman"/>
          <w:i/>
          <w:iCs/>
          <w:sz w:val="22"/>
        </w:rPr>
        <w:t>RealCost</w:t>
      </w:r>
      <w:proofErr w:type="spellEnd"/>
      <w:r w:rsidR="00A944CA">
        <w:rPr>
          <w:rFonts w:ascii="Times New Roman" w:hAnsi="Times New Roman" w:cs="Times New Roman"/>
          <w:sz w:val="22"/>
        </w:rPr>
        <w:t xml:space="preserve"> software.</w:t>
      </w:r>
    </w:p>
    <w:p w14:paraId="0C88FBE4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7E34176A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</w:t>
      </w:r>
      <w:r w:rsidR="00DD5F92">
        <w:rPr>
          <w:rFonts w:ascii="Times New Roman" w:hAnsi="Times New Roman" w:cs="Times New Roman"/>
          <w:sz w:val="22"/>
        </w:rPr>
        <w:t xml:space="preserve"> following information should be included</w:t>
      </w:r>
      <w:r w:rsidR="00D4000A">
        <w:rPr>
          <w:rFonts w:ascii="Times New Roman" w:hAnsi="Times New Roman" w:cs="Times New Roman"/>
          <w:sz w:val="22"/>
        </w:rPr>
        <w:t xml:space="preserve"> on the LCCA form</w:t>
      </w:r>
      <w:r>
        <w:rPr>
          <w:rFonts w:ascii="Times New Roman" w:hAnsi="Times New Roman" w:cs="Times New Roman"/>
          <w:sz w:val="22"/>
        </w:rPr>
        <w:t>:</w:t>
      </w:r>
    </w:p>
    <w:p w14:paraId="2F73498D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74D96C6D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Alternative Description:</w:t>
      </w:r>
    </w:p>
    <w:p w14:paraId="5421995E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28058A16" w14:textId="77777777" w:rsidR="00A944CA" w:rsidRDefault="00A944CA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Describe the pavement alternative being analyzed.  Include the pavement structure (thicknesses and types of the various layers of the pavement) and any other features unique to this alternative.</w:t>
      </w:r>
    </w:p>
    <w:p w14:paraId="778F26C9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49CFE115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Pavement Design Life:</w:t>
      </w:r>
    </w:p>
    <w:p w14:paraId="46FACA68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1E33C137" w14:textId="0154091E" w:rsidR="00A944CA" w:rsidRDefault="00195AAB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Label </w:t>
      </w:r>
      <w:r w:rsidR="00A944CA">
        <w:rPr>
          <w:rFonts w:ascii="Times New Roman" w:hAnsi="Times New Roman" w:cs="Times New Roman"/>
          <w:sz w:val="22"/>
        </w:rPr>
        <w:t xml:space="preserve">the pavement design life of the </w:t>
      </w:r>
      <w:r>
        <w:rPr>
          <w:rFonts w:ascii="Times New Roman" w:hAnsi="Times New Roman" w:cs="Times New Roman"/>
          <w:sz w:val="22"/>
        </w:rPr>
        <w:t xml:space="preserve">pavement </w:t>
      </w:r>
      <w:r w:rsidR="00A944CA">
        <w:rPr>
          <w:rFonts w:ascii="Times New Roman" w:hAnsi="Times New Roman" w:cs="Times New Roman"/>
          <w:sz w:val="22"/>
        </w:rPr>
        <w:t xml:space="preserve">alternative.  For more information on pavement design life, see </w:t>
      </w:r>
      <w:r w:rsidR="00A944CA">
        <w:rPr>
          <w:rFonts w:ascii="Times New Roman" w:hAnsi="Times New Roman" w:cs="Times New Roman"/>
          <w:i/>
          <w:iCs/>
          <w:sz w:val="22"/>
        </w:rPr>
        <w:t xml:space="preserve">Highway Design Manual </w:t>
      </w:r>
      <w:hyperlink r:id="rId9" w:tooltip="HDM Topic 612" w:history="1">
        <w:r w:rsidR="00A944CA">
          <w:rPr>
            <w:rStyle w:val="Hyperlink"/>
            <w:rFonts w:ascii="Times New Roman" w:hAnsi="Times New Roman" w:cs="Times New Roman"/>
            <w:i/>
            <w:iCs/>
            <w:sz w:val="22"/>
          </w:rPr>
          <w:t>Topic 612</w:t>
        </w:r>
      </w:hyperlink>
      <w:r w:rsidR="00A944CA">
        <w:rPr>
          <w:rFonts w:ascii="Times New Roman" w:hAnsi="Times New Roman" w:cs="Times New Roman"/>
        </w:rPr>
        <w:t>.</w:t>
      </w:r>
    </w:p>
    <w:p w14:paraId="42880EC2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  <w:sectPr w:rsidR="00A944CA">
          <w:pgSz w:w="12240" w:h="15840"/>
          <w:pgMar w:top="1440" w:right="1800" w:bottom="1440" w:left="1800" w:header="720" w:footer="720" w:gutter="0"/>
          <w:pgNumType w:start="3" w:chapStyle="1"/>
          <w:cols w:space="720"/>
          <w:docGrid w:linePitch="360"/>
        </w:sectPr>
      </w:pPr>
    </w:p>
    <w:p w14:paraId="78AAEFA8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Initial Construction Cost:</w:t>
      </w:r>
    </w:p>
    <w:p w14:paraId="50B8EF4D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61C12CC5" w14:textId="77777777" w:rsidR="006C45DA" w:rsidRDefault="00433F0D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Initial construction costs are estimated using guidelines from the </w:t>
      </w:r>
      <w:r w:rsidRPr="00433F0D">
        <w:rPr>
          <w:rFonts w:ascii="Times New Roman" w:hAnsi="Times New Roman" w:cs="Times New Roman"/>
          <w:i/>
          <w:sz w:val="22"/>
        </w:rPr>
        <w:t>LCCA Procedures Manual</w:t>
      </w:r>
      <w:r w:rsidR="006C45DA">
        <w:rPr>
          <w:rFonts w:ascii="Times New Roman" w:hAnsi="Times New Roman" w:cs="Times New Roman"/>
          <w:sz w:val="22"/>
        </w:rPr>
        <w:t>.</w:t>
      </w:r>
    </w:p>
    <w:p w14:paraId="4ADF6C90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7854B8D6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Future Maintenance and Rehabilitation Cost:</w:t>
      </w:r>
    </w:p>
    <w:p w14:paraId="6543D27D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75EF0336" w14:textId="77777777" w:rsidR="00A944CA" w:rsidRDefault="00433F0D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Future maintenance and rehabilitation costs </w:t>
      </w:r>
      <w:r w:rsidR="00A944CA">
        <w:rPr>
          <w:rFonts w:ascii="Times New Roman" w:hAnsi="Times New Roman" w:cs="Times New Roman"/>
          <w:sz w:val="22"/>
        </w:rPr>
        <w:t xml:space="preserve">are derived from the tables and figures found in the </w:t>
      </w:r>
      <w:r w:rsidR="00A944CA">
        <w:rPr>
          <w:rFonts w:ascii="Times New Roman" w:hAnsi="Times New Roman" w:cs="Times New Roman"/>
          <w:i/>
          <w:iCs/>
          <w:sz w:val="22"/>
        </w:rPr>
        <w:t>L</w:t>
      </w:r>
      <w:r>
        <w:rPr>
          <w:rFonts w:ascii="Times New Roman" w:hAnsi="Times New Roman" w:cs="Times New Roman"/>
          <w:i/>
          <w:iCs/>
          <w:sz w:val="22"/>
        </w:rPr>
        <w:t>CCA</w:t>
      </w:r>
      <w:r w:rsidR="00A944CA">
        <w:rPr>
          <w:rFonts w:ascii="Times New Roman" w:hAnsi="Times New Roman" w:cs="Times New Roman"/>
          <w:i/>
          <w:iCs/>
          <w:sz w:val="22"/>
        </w:rPr>
        <w:t xml:space="preserve"> Procedures Manual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Pr="00433F0D">
        <w:rPr>
          <w:rFonts w:ascii="Times New Roman" w:hAnsi="Times New Roman" w:cs="Times New Roman"/>
          <w:iCs/>
          <w:sz w:val="22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RealCost</w:t>
      </w:r>
      <w:proofErr w:type="spellEnd"/>
      <w:r w:rsidRPr="00433F0D">
        <w:rPr>
          <w:rFonts w:ascii="Times New Roman" w:hAnsi="Times New Roman" w:cs="Times New Roman"/>
          <w:iCs/>
          <w:sz w:val="22"/>
        </w:rPr>
        <w:t xml:space="preserve"> software</w:t>
      </w:r>
      <w:r w:rsidR="00A944CA">
        <w:rPr>
          <w:rFonts w:ascii="Times New Roman" w:hAnsi="Times New Roman" w:cs="Times New Roman"/>
          <w:sz w:val="22"/>
        </w:rPr>
        <w:t>.</w:t>
      </w:r>
      <w:r w:rsidR="00D22EA2">
        <w:rPr>
          <w:rFonts w:ascii="Times New Roman" w:hAnsi="Times New Roman" w:cs="Times New Roman"/>
          <w:sz w:val="22"/>
        </w:rPr>
        <w:t xml:space="preserve"> They include costs for routine, preventive, and corrective maintenance, whose purpose is to preserve or extend the service life of the pavement.</w:t>
      </w:r>
      <w:r w:rsidR="00413707">
        <w:rPr>
          <w:rFonts w:ascii="Times New Roman" w:hAnsi="Times New Roman" w:cs="Times New Roman"/>
          <w:sz w:val="22"/>
        </w:rPr>
        <w:t xml:space="preserve"> It is </w:t>
      </w:r>
      <w:r w:rsidR="006A1708">
        <w:rPr>
          <w:rFonts w:ascii="Times New Roman" w:hAnsi="Times New Roman" w:cs="Times New Roman"/>
          <w:sz w:val="22"/>
        </w:rPr>
        <w:t xml:space="preserve">obtained by </w:t>
      </w:r>
      <w:r w:rsidR="00EC3259">
        <w:rPr>
          <w:rFonts w:ascii="Times New Roman" w:hAnsi="Times New Roman" w:cs="Times New Roman"/>
          <w:sz w:val="22"/>
        </w:rPr>
        <w:t xml:space="preserve">subtracting </w:t>
      </w:r>
      <w:r w:rsidR="00413707">
        <w:rPr>
          <w:rFonts w:ascii="Times New Roman" w:hAnsi="Times New Roman" w:cs="Times New Roman"/>
          <w:sz w:val="22"/>
        </w:rPr>
        <w:t>the total agency cost</w:t>
      </w:r>
      <w:r w:rsidR="00EC3259">
        <w:rPr>
          <w:rFonts w:ascii="Times New Roman" w:hAnsi="Times New Roman" w:cs="Times New Roman"/>
          <w:sz w:val="22"/>
        </w:rPr>
        <w:t xml:space="preserve">, </w:t>
      </w:r>
      <w:r w:rsidR="00195AAB">
        <w:rPr>
          <w:rFonts w:ascii="Times New Roman" w:hAnsi="Times New Roman" w:cs="Times New Roman"/>
          <w:sz w:val="22"/>
        </w:rPr>
        <w:t>calculated</w:t>
      </w:r>
      <w:r w:rsidR="00EC3259">
        <w:rPr>
          <w:rFonts w:ascii="Times New Roman" w:hAnsi="Times New Roman" w:cs="Times New Roman"/>
          <w:sz w:val="22"/>
        </w:rPr>
        <w:t xml:space="preserve"> by the </w:t>
      </w:r>
      <w:proofErr w:type="spellStart"/>
      <w:r w:rsidR="00EC3259" w:rsidRPr="00EC3259">
        <w:rPr>
          <w:rFonts w:ascii="Times New Roman" w:hAnsi="Times New Roman" w:cs="Times New Roman"/>
          <w:i/>
          <w:sz w:val="22"/>
        </w:rPr>
        <w:t>RealCost</w:t>
      </w:r>
      <w:proofErr w:type="spellEnd"/>
      <w:r w:rsidR="00EC3259">
        <w:rPr>
          <w:rFonts w:ascii="Times New Roman" w:hAnsi="Times New Roman" w:cs="Times New Roman"/>
          <w:sz w:val="22"/>
        </w:rPr>
        <w:t xml:space="preserve"> software,</w:t>
      </w:r>
      <w:r w:rsidR="00413707">
        <w:rPr>
          <w:rFonts w:ascii="Times New Roman" w:hAnsi="Times New Roman" w:cs="Times New Roman"/>
          <w:sz w:val="22"/>
        </w:rPr>
        <w:t xml:space="preserve"> by the initial construct</w:t>
      </w:r>
      <w:r w:rsidR="00720CB5">
        <w:rPr>
          <w:rFonts w:ascii="Times New Roman" w:hAnsi="Times New Roman" w:cs="Times New Roman"/>
          <w:sz w:val="22"/>
        </w:rPr>
        <w:t>ion</w:t>
      </w:r>
      <w:r w:rsidR="00413707">
        <w:rPr>
          <w:rFonts w:ascii="Times New Roman" w:hAnsi="Times New Roman" w:cs="Times New Roman"/>
          <w:sz w:val="22"/>
        </w:rPr>
        <w:t xml:space="preserve"> cost.</w:t>
      </w:r>
      <w:r w:rsidR="00A944CA">
        <w:rPr>
          <w:rFonts w:ascii="Times New Roman" w:hAnsi="Times New Roman" w:cs="Times New Roman"/>
          <w:sz w:val="22"/>
        </w:rPr>
        <w:t xml:space="preserve">  </w:t>
      </w:r>
    </w:p>
    <w:p w14:paraId="5DFAA1CA" w14:textId="77777777" w:rsidR="00A944CA" w:rsidRDefault="00A944CA" w:rsidP="00F75EEA">
      <w:pPr>
        <w:pStyle w:val="NormalWeb"/>
        <w:spacing w:before="12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Total Agency Cost:</w:t>
      </w:r>
    </w:p>
    <w:p w14:paraId="731DB8FE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564ED6B7" w14:textId="77777777" w:rsidR="00A944CA" w:rsidRDefault="008B4F7C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Total agency cost </w:t>
      </w:r>
      <w:r w:rsidR="00A944CA">
        <w:rPr>
          <w:rFonts w:ascii="Times New Roman" w:hAnsi="Times New Roman" w:cs="Times New Roman"/>
          <w:sz w:val="22"/>
        </w:rPr>
        <w:t xml:space="preserve">is the sum of initial construction, </w:t>
      </w:r>
      <w:r w:rsidR="009021E8">
        <w:rPr>
          <w:rFonts w:ascii="Times New Roman" w:hAnsi="Times New Roman" w:cs="Times New Roman"/>
          <w:sz w:val="22"/>
        </w:rPr>
        <w:t xml:space="preserve">future </w:t>
      </w:r>
      <w:r w:rsidR="00A944CA">
        <w:rPr>
          <w:rFonts w:ascii="Times New Roman" w:hAnsi="Times New Roman" w:cs="Times New Roman"/>
          <w:sz w:val="22"/>
        </w:rPr>
        <w:t>support, and future maintenance and rehabilitation costs.</w:t>
      </w:r>
      <w:r w:rsidR="006D5257">
        <w:rPr>
          <w:rFonts w:ascii="Times New Roman" w:hAnsi="Times New Roman" w:cs="Times New Roman"/>
          <w:sz w:val="22"/>
        </w:rPr>
        <w:t xml:space="preserve"> </w:t>
      </w:r>
      <w:r w:rsidR="00D4000A">
        <w:rPr>
          <w:rFonts w:ascii="Times New Roman" w:hAnsi="Times New Roman" w:cs="Times New Roman"/>
          <w:sz w:val="22"/>
        </w:rPr>
        <w:t xml:space="preserve"> </w:t>
      </w:r>
      <w:r w:rsidR="00D4000A">
        <w:rPr>
          <w:rFonts w:ascii="Times New Roman" w:eastAsia="Batang" w:hAnsi="Times New Roman" w:cs="Times New Roman"/>
          <w:sz w:val="22"/>
          <w:lang w:eastAsia="ko-KR"/>
        </w:rPr>
        <w:t xml:space="preserve">These costs are calculated and reported by the </w:t>
      </w:r>
      <w:proofErr w:type="spellStart"/>
      <w:r w:rsidR="00D4000A">
        <w:rPr>
          <w:rFonts w:ascii="Times New Roman" w:eastAsia="Batang" w:hAnsi="Times New Roman" w:cs="Times New Roman"/>
          <w:i/>
          <w:iCs/>
          <w:sz w:val="22"/>
          <w:lang w:eastAsia="ko-KR"/>
        </w:rPr>
        <w:t>RealCost</w:t>
      </w:r>
      <w:proofErr w:type="spellEnd"/>
      <w:r w:rsidR="00D4000A">
        <w:rPr>
          <w:rFonts w:ascii="Times New Roman" w:eastAsia="Batang" w:hAnsi="Times New Roman" w:cs="Times New Roman"/>
          <w:i/>
          <w:iCs/>
          <w:sz w:val="22"/>
          <w:lang w:eastAsia="ko-KR"/>
        </w:rPr>
        <w:t xml:space="preserve"> </w:t>
      </w:r>
      <w:r w:rsidR="00D4000A">
        <w:rPr>
          <w:rFonts w:ascii="Times New Roman" w:eastAsia="Batang" w:hAnsi="Times New Roman" w:cs="Times New Roman"/>
          <w:sz w:val="22"/>
          <w:lang w:eastAsia="ko-KR"/>
        </w:rPr>
        <w:t xml:space="preserve">software using data from the </w:t>
      </w:r>
      <w:r w:rsidR="00D4000A">
        <w:rPr>
          <w:rFonts w:ascii="Times New Roman" w:eastAsia="Batang" w:hAnsi="Times New Roman" w:cs="Times New Roman"/>
          <w:i/>
          <w:iCs/>
          <w:sz w:val="22"/>
          <w:lang w:eastAsia="ko-KR"/>
        </w:rPr>
        <w:t>Life Cycle Cost Analysis Procedures Manual.</w:t>
      </w:r>
    </w:p>
    <w:p w14:paraId="1946DE52" w14:textId="77777777" w:rsidR="00A944CA" w:rsidRDefault="00E56B4D" w:rsidP="00F75EEA">
      <w:pPr>
        <w:pStyle w:val="NormalWeb"/>
        <w:spacing w:before="12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Total </w:t>
      </w:r>
      <w:r w:rsidR="00A944CA">
        <w:rPr>
          <w:rFonts w:ascii="Times New Roman" w:hAnsi="Times New Roman" w:cs="Times New Roman"/>
          <w:sz w:val="22"/>
        </w:rPr>
        <w:t>User Cost:</w:t>
      </w:r>
    </w:p>
    <w:p w14:paraId="4ECBA9B5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763A6E40" w14:textId="77777777" w:rsidR="00A944CA" w:rsidRDefault="00A944CA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eastAsia="Batang" w:hAnsi="Times New Roman" w:cs="Times New Roman"/>
          <w:sz w:val="22"/>
          <w:lang w:eastAsia="ko-KR"/>
        </w:rPr>
      </w:pPr>
      <w:r>
        <w:rPr>
          <w:rFonts w:ascii="Times New Roman" w:hAnsi="Times New Roman" w:cs="Times New Roman"/>
          <w:iCs/>
          <w:sz w:val="22"/>
        </w:rPr>
        <w:t>User cost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>include</w:t>
      </w:r>
      <w:r w:rsidR="008B4F7C">
        <w:rPr>
          <w:rFonts w:ascii="Times New Roman" w:eastAsia="Batang" w:hAnsi="Times New Roman" w:cs="Times New Roman"/>
          <w:sz w:val="22"/>
          <w:lang w:eastAsia="ko-KR"/>
        </w:rPr>
        <w:t>s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 travel time costs,</w:t>
      </w:r>
      <w:r>
        <w:rPr>
          <w:rFonts w:ascii="Times New Roman" w:hAnsi="Times New Roman" w:cs="Times New Roman"/>
          <w:sz w:val="22"/>
        </w:rPr>
        <w:t xml:space="preserve"> vehicle operating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 costs, </w:t>
      </w:r>
      <w:r>
        <w:rPr>
          <w:rFonts w:ascii="Times New Roman" w:hAnsi="Times New Roman" w:cs="Times New Roman"/>
          <w:sz w:val="22"/>
        </w:rPr>
        <w:t xml:space="preserve">and crash costs incurred by 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the </w:t>
      </w:r>
      <w:r>
        <w:rPr>
          <w:rFonts w:ascii="Times New Roman" w:eastAsia="Batang" w:hAnsi="Times New Roman" w:cs="Times New Roman"/>
          <w:sz w:val="22"/>
          <w:lang w:eastAsia="ko-KR"/>
        </w:rPr>
        <w:t>traveling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 public. Such user costs typically arise when work zones are imposed for field</w:t>
      </w:r>
      <w:r>
        <w:rPr>
          <w:rFonts w:ascii="Times New Roman" w:eastAsia="Batang" w:hAnsi="Times New Roman" w:cs="Times New Roman"/>
          <w:sz w:val="22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work </w:t>
      </w:r>
      <w:r>
        <w:rPr>
          <w:rFonts w:ascii="Times New Roman" w:eastAsia="Batang" w:hAnsi="Times New Roman" w:cs="Times New Roman"/>
          <w:sz w:val="22"/>
          <w:lang w:eastAsia="ko-KR"/>
        </w:rPr>
        <w:t xml:space="preserve">which 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>restrict</w:t>
      </w:r>
      <w:r>
        <w:rPr>
          <w:rFonts w:ascii="Times New Roman" w:eastAsia="Batang" w:hAnsi="Times New Roman" w:cs="Times New Roman"/>
          <w:sz w:val="22"/>
          <w:lang w:eastAsia="ko-KR"/>
        </w:rPr>
        <w:t>s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 the normal capacity of the facility and reduce</w:t>
      </w:r>
      <w:r>
        <w:rPr>
          <w:rFonts w:ascii="Times New Roman" w:eastAsia="Batang" w:hAnsi="Times New Roman" w:cs="Times New Roman"/>
          <w:sz w:val="22"/>
          <w:lang w:eastAsia="ko-KR"/>
        </w:rPr>
        <w:t>s</w:t>
      </w:r>
      <w:r>
        <w:rPr>
          <w:rFonts w:ascii="Times New Roman" w:eastAsia="Batang" w:hAnsi="Times New Roman" w:cs="Times New Roman" w:hint="eastAsia"/>
          <w:sz w:val="22"/>
          <w:lang w:eastAsia="ko-KR"/>
        </w:rPr>
        <w:t xml:space="preserve"> traffic flow.</w:t>
      </w:r>
      <w:r>
        <w:rPr>
          <w:rFonts w:ascii="Times New Roman" w:eastAsia="Batang" w:hAnsi="Times New Roman" w:cs="Times New Roman"/>
          <w:sz w:val="22"/>
          <w:lang w:eastAsia="ko-KR"/>
        </w:rPr>
        <w:t xml:space="preserve">  These costs are calculated and reported by the </w:t>
      </w:r>
      <w:proofErr w:type="spellStart"/>
      <w:r>
        <w:rPr>
          <w:rFonts w:ascii="Times New Roman" w:eastAsia="Batang" w:hAnsi="Times New Roman" w:cs="Times New Roman"/>
          <w:i/>
          <w:iCs/>
          <w:sz w:val="22"/>
          <w:lang w:eastAsia="ko-KR"/>
        </w:rPr>
        <w:t>RealCost</w:t>
      </w:r>
      <w:proofErr w:type="spellEnd"/>
      <w:r>
        <w:rPr>
          <w:rFonts w:ascii="Times New Roman" w:eastAsia="Batang" w:hAnsi="Times New Roman" w:cs="Times New Roman"/>
          <w:i/>
          <w:iCs/>
          <w:sz w:val="22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2"/>
          <w:lang w:eastAsia="ko-KR"/>
        </w:rPr>
        <w:t xml:space="preserve">software using data from the </w:t>
      </w:r>
      <w:r>
        <w:rPr>
          <w:rFonts w:ascii="Times New Roman" w:eastAsia="Batang" w:hAnsi="Times New Roman" w:cs="Times New Roman"/>
          <w:i/>
          <w:iCs/>
          <w:sz w:val="22"/>
          <w:lang w:eastAsia="ko-KR"/>
        </w:rPr>
        <w:t>Life Cycle Cost Analysis Procedures Manual.</w:t>
      </w:r>
    </w:p>
    <w:p w14:paraId="54637D71" w14:textId="77777777" w:rsidR="00A944CA" w:rsidRDefault="00A944CA" w:rsidP="00F75EEA">
      <w:pPr>
        <w:pStyle w:val="NormalWeb"/>
        <w:spacing w:before="12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Total Life</w:t>
      </w:r>
      <w:r w:rsidR="008B30C3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>Cycle Costs:</w:t>
      </w:r>
    </w:p>
    <w:p w14:paraId="07D02ED2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58A0EECD" w14:textId="77777777" w:rsidR="00A944CA" w:rsidRDefault="00A944CA" w:rsidP="00C1251E">
      <w:pPr>
        <w:pStyle w:val="NormalWeb"/>
        <w:spacing w:before="0" w:beforeAutospacing="0" w:after="0" w:afterAutospacing="0"/>
        <w:ind w:left="14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is the sum of total agency costs and user costs.</w:t>
      </w:r>
      <w:r w:rsidR="00677E37">
        <w:rPr>
          <w:rFonts w:ascii="Times New Roman" w:hAnsi="Times New Roman" w:cs="Times New Roman"/>
          <w:sz w:val="22"/>
        </w:rPr>
        <w:t xml:space="preserve"> The Department considers agency and user costs equivalent, but they are to be </w:t>
      </w:r>
      <w:r w:rsidR="00C3795C">
        <w:rPr>
          <w:rFonts w:ascii="Times New Roman" w:hAnsi="Times New Roman" w:cs="Times New Roman"/>
          <w:sz w:val="22"/>
        </w:rPr>
        <w:t>documented</w:t>
      </w:r>
      <w:r w:rsidR="00677E37">
        <w:rPr>
          <w:rFonts w:ascii="Times New Roman" w:hAnsi="Times New Roman" w:cs="Times New Roman"/>
          <w:sz w:val="22"/>
        </w:rPr>
        <w:t xml:space="preserve"> separately </w:t>
      </w:r>
      <w:r w:rsidR="00C3795C">
        <w:rPr>
          <w:rFonts w:ascii="Times New Roman" w:hAnsi="Times New Roman" w:cs="Times New Roman"/>
          <w:sz w:val="22"/>
        </w:rPr>
        <w:t xml:space="preserve">on the </w:t>
      </w:r>
      <w:r w:rsidR="00EE342D">
        <w:rPr>
          <w:rFonts w:ascii="Times New Roman" w:hAnsi="Times New Roman" w:cs="Times New Roman"/>
          <w:sz w:val="22"/>
        </w:rPr>
        <w:t xml:space="preserve">LCCA </w:t>
      </w:r>
      <w:r w:rsidR="00C3795C">
        <w:rPr>
          <w:rFonts w:ascii="Times New Roman" w:hAnsi="Times New Roman" w:cs="Times New Roman"/>
          <w:sz w:val="22"/>
        </w:rPr>
        <w:t>form</w:t>
      </w:r>
      <w:r w:rsidR="00677E37">
        <w:rPr>
          <w:rFonts w:ascii="Times New Roman" w:hAnsi="Times New Roman" w:cs="Times New Roman"/>
          <w:sz w:val="22"/>
        </w:rPr>
        <w:t>.</w:t>
      </w:r>
    </w:p>
    <w:p w14:paraId="6BEB7CBD" w14:textId="77777777" w:rsidR="00A944CA" w:rsidRDefault="00A944CA" w:rsidP="00F75EEA">
      <w:pPr>
        <w:pStyle w:val="NormalWeb"/>
        <w:spacing w:before="12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Reason that Alternative 1</w:t>
      </w:r>
      <w:r w:rsidR="004224C1">
        <w:rPr>
          <w:rFonts w:ascii="Times New Roman" w:hAnsi="Times New Roman" w:cs="Times New Roman"/>
          <w:sz w:val="22"/>
        </w:rPr>
        <w:t xml:space="preserve"> is not the lowest life cycle cost (if applicable)</w:t>
      </w:r>
      <w:r>
        <w:rPr>
          <w:rFonts w:ascii="Times New Roman" w:hAnsi="Times New Roman" w:cs="Times New Roman"/>
          <w:sz w:val="22"/>
        </w:rPr>
        <w:t>:</w:t>
      </w:r>
    </w:p>
    <w:p w14:paraId="441D47B6" w14:textId="77777777" w:rsidR="00A944CA" w:rsidRDefault="00A944CA" w:rsidP="00C1251E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</w:rPr>
      </w:pPr>
    </w:p>
    <w:p w14:paraId="160E5796" w14:textId="6459BEDC" w:rsidR="00AA2463" w:rsidRDefault="004224C1" w:rsidP="00F75EEA">
      <w:pPr>
        <w:pStyle w:val="BodyTextIndent"/>
        <w:jc w:val="both"/>
        <w:rPr>
          <w:sz w:val="22"/>
        </w:rPr>
      </w:pPr>
      <w:r>
        <w:rPr>
          <w:sz w:val="22"/>
        </w:rPr>
        <w:t>If Alternative 1 is not the lowest life cycle cost f</w:t>
      </w:r>
      <w:r w:rsidR="00A944CA">
        <w:rPr>
          <w:sz w:val="22"/>
        </w:rPr>
        <w:t xml:space="preserve">or all alternatives, </w:t>
      </w:r>
      <w:r>
        <w:rPr>
          <w:sz w:val="22"/>
        </w:rPr>
        <w:t>state the reason why</w:t>
      </w:r>
      <w:r w:rsidR="00A944CA">
        <w:rPr>
          <w:sz w:val="22"/>
        </w:rPr>
        <w:t xml:space="preserve">.  Note that except for pavement design life requirements found in </w:t>
      </w:r>
      <w:r w:rsidR="00A944CA">
        <w:rPr>
          <w:i/>
          <w:iCs/>
          <w:sz w:val="22"/>
        </w:rPr>
        <w:t xml:space="preserve">Highway Design Manual </w:t>
      </w:r>
      <w:hyperlink r:id="rId10" w:tooltip="HDM Topic 612" w:history="1">
        <w:r w:rsidR="00A944CA">
          <w:rPr>
            <w:rStyle w:val="Hyperlink"/>
            <w:i/>
            <w:iCs/>
            <w:sz w:val="22"/>
          </w:rPr>
          <w:t>Topic 612</w:t>
        </w:r>
      </w:hyperlink>
      <w:r w:rsidR="00A944CA">
        <w:rPr>
          <w:sz w:val="22"/>
        </w:rPr>
        <w:t>, there is no requirement that the lowest life cycle cost alternative must be Alternative 1.</w:t>
      </w:r>
      <w:r w:rsidR="00AA2463">
        <w:rPr>
          <w:sz w:val="22"/>
        </w:rPr>
        <w:br w:type="page"/>
      </w:r>
    </w:p>
    <w:p w14:paraId="3F42E01F" w14:textId="77777777" w:rsidR="00AA2463" w:rsidRDefault="00AA2463" w:rsidP="00C2730E">
      <w:pPr>
        <w:pStyle w:val="Heading3"/>
      </w:pPr>
      <w:r>
        <w:lastRenderedPageBreak/>
        <w:t>Transmittal of Life</w:t>
      </w:r>
      <w:r w:rsidR="00347375">
        <w:t>-</w:t>
      </w:r>
      <w:r>
        <w:t>Cycle Costs Information</w:t>
      </w:r>
    </w:p>
    <w:p w14:paraId="039CDBCF" w14:textId="77777777" w:rsidR="00AA2463" w:rsidRDefault="00AA2463" w:rsidP="00C2730E">
      <w:pPr>
        <w:pStyle w:val="BodyTextIndent"/>
        <w:rPr>
          <w:sz w:val="22"/>
        </w:rPr>
      </w:pPr>
    </w:p>
    <w:p w14:paraId="33A93FCF" w14:textId="77777777" w:rsidR="00AA2463" w:rsidRDefault="00AA2463" w:rsidP="00C2730E">
      <w:pPr>
        <w:pStyle w:val="BodyTextIndent"/>
        <w:rPr>
          <w:sz w:val="22"/>
        </w:rPr>
      </w:pPr>
    </w:p>
    <w:p w14:paraId="35861844" w14:textId="6A262B66" w:rsidR="00347375" w:rsidRDefault="00AA2463" w:rsidP="00F75EEA">
      <w:pPr>
        <w:pStyle w:val="NormalWeb"/>
        <w:spacing w:before="0" w:beforeAutospacing="0" w:after="0" w:afterAutospacing="0"/>
        <w:ind w:left="720"/>
        <w:jc w:val="both"/>
      </w:pPr>
      <w:r>
        <w:rPr>
          <w:rFonts w:ascii="Times New Roman" w:hAnsi="Times New Roman" w:cs="Times New Roman"/>
          <w:sz w:val="22"/>
        </w:rPr>
        <w:t>A pdf copy of the approved project initiation document, project report, or project scope summary report with the life-cycle costs included shall be emailed to lcca@dot.ca.gov.</w:t>
      </w:r>
    </w:p>
    <w:p w14:paraId="745DCAEE" w14:textId="77777777" w:rsidR="00A944CA" w:rsidRDefault="00AA2463">
      <w:pPr>
        <w:pStyle w:val="Heading2"/>
        <w:rPr>
          <w:sz w:val="28"/>
        </w:rPr>
      </w:pPr>
      <w:r w:rsidRPr="00347375">
        <w:br w:type="page"/>
      </w:r>
      <w:bookmarkStart w:id="4" w:name="_Toc161016885"/>
      <w:r w:rsidR="00A944CA">
        <w:rPr>
          <w:sz w:val="28"/>
        </w:rPr>
        <w:lastRenderedPageBreak/>
        <w:t>Life Cycle Cost Analysis Form</w:t>
      </w:r>
      <w:bookmarkEnd w:id="4"/>
    </w:p>
    <w:p w14:paraId="4D3F11AF" w14:textId="77777777" w:rsidR="00A944CA" w:rsidRDefault="00A944CA">
      <w:pPr>
        <w:jc w:val="center"/>
        <w:rPr>
          <w:b/>
          <w:bCs/>
        </w:rPr>
      </w:pPr>
    </w:p>
    <w:tbl>
      <w:tblPr>
        <w:tblW w:w="8995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712"/>
        <w:gridCol w:w="700"/>
        <w:gridCol w:w="2473"/>
        <w:gridCol w:w="830"/>
        <w:gridCol w:w="799"/>
        <w:gridCol w:w="1854"/>
        <w:gridCol w:w="1627"/>
      </w:tblGrid>
      <w:tr w:rsidR="00A944CA" w14:paraId="3BF11C4A" w14:textId="77777777" w:rsidTr="00F75EEA">
        <w:trPr>
          <w:cantSplit/>
          <w:trHeight w:val="859"/>
          <w:jc w:val="center"/>
        </w:trPr>
        <w:tc>
          <w:tcPr>
            <w:tcW w:w="712" w:type="dxa"/>
          </w:tcPr>
          <w:p w14:paraId="07963EEB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29F876C5" w14:textId="77777777" w:rsidR="00A944CA" w:rsidRDefault="00A944CA" w:rsidP="00232D8C">
            <w:pPr>
              <w:keepNext/>
              <w:keepLines/>
              <w:spacing w:after="120"/>
            </w:pPr>
            <w:r w:rsidRPr="00100394">
              <w:rPr>
                <w:b/>
              </w:rPr>
              <w:t>Alternative 1</w:t>
            </w:r>
            <w:r>
              <w:t xml:space="preserve"> (Pavement</w:t>
            </w:r>
            <w:r w:rsidR="000D4FDE">
              <w:t xml:space="preserve"> </w:t>
            </w:r>
            <w:r>
              <w:t>alternative</w:t>
            </w:r>
            <w:r w:rsidR="000D4FDE">
              <w:t xml:space="preserve"> selected for programming</w:t>
            </w:r>
            <w:r>
              <w:t xml:space="preserve"> </w:t>
            </w:r>
            <w:r>
              <w:rPr>
                <w:i/>
                <w:iCs/>
              </w:rPr>
              <w:t xml:space="preserve">or </w:t>
            </w:r>
            <w:r>
              <w:t>Preferred Alternative)</w:t>
            </w:r>
            <w:r w:rsidR="00100394">
              <w:t>:</w:t>
            </w:r>
            <w:r>
              <w:t xml:space="preserve"> </w:t>
            </w:r>
            <w:r>
              <w:br/>
            </w:r>
            <w:r w:rsidRPr="002A24EA">
              <w:rPr>
                <w:i/>
                <w:iCs/>
              </w:rPr>
              <w:t>Briefly describe the pavement strategy and other unique features</w:t>
            </w:r>
          </w:p>
        </w:tc>
      </w:tr>
      <w:tr w:rsidR="00A944CA" w14:paraId="44D23502" w14:textId="77777777">
        <w:trPr>
          <w:cantSplit/>
          <w:jc w:val="center"/>
        </w:trPr>
        <w:tc>
          <w:tcPr>
            <w:tcW w:w="712" w:type="dxa"/>
          </w:tcPr>
          <w:p w14:paraId="2BD7099E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7398B7DB" w14:textId="5AA2403C" w:rsidR="00982CA5" w:rsidRDefault="00982CA5" w:rsidP="005A2238">
            <w:pPr>
              <w:keepNext/>
              <w:keepLines/>
              <w:pBdr>
                <w:bottom w:val="single" w:sz="4" w:space="1" w:color="auto"/>
              </w:pBdr>
            </w:pPr>
          </w:p>
        </w:tc>
      </w:tr>
      <w:tr w:rsidR="00A944CA" w14:paraId="2A0796EA" w14:textId="77777777">
        <w:trPr>
          <w:cantSplit/>
          <w:jc w:val="center"/>
        </w:trPr>
        <w:tc>
          <w:tcPr>
            <w:tcW w:w="712" w:type="dxa"/>
          </w:tcPr>
          <w:p w14:paraId="4F486FA8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28F06962" w14:textId="77777777" w:rsidR="00A944CA" w:rsidRDefault="00A944CA">
            <w:pPr>
              <w:keepNext/>
              <w:keepLines/>
            </w:pPr>
          </w:p>
        </w:tc>
      </w:tr>
      <w:tr w:rsidR="00A944CA" w14:paraId="22325A08" w14:textId="77777777">
        <w:trPr>
          <w:cantSplit/>
          <w:jc w:val="center"/>
        </w:trPr>
        <w:tc>
          <w:tcPr>
            <w:tcW w:w="712" w:type="dxa"/>
          </w:tcPr>
          <w:p w14:paraId="00355F56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1A970EEE" w14:textId="77777777" w:rsidR="00A944CA" w:rsidRDefault="00A944CA">
            <w:pPr>
              <w:keepNext/>
              <w:keepLines/>
            </w:pPr>
          </w:p>
        </w:tc>
        <w:tc>
          <w:tcPr>
            <w:tcW w:w="2473" w:type="dxa"/>
          </w:tcPr>
          <w:p w14:paraId="30248C24" w14:textId="77777777" w:rsidR="00A944CA" w:rsidRDefault="00A944CA">
            <w:pPr>
              <w:keepNext/>
              <w:keepLines/>
            </w:pPr>
            <w:r>
              <w:t>Pavement Design Life: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211475" w14:textId="77777777" w:rsidR="00A944CA" w:rsidRDefault="00A944CA">
            <w:pPr>
              <w:keepNext/>
              <w:keepLines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99" w:type="dxa"/>
          </w:tcPr>
          <w:p w14:paraId="611A8E37" w14:textId="77777777" w:rsidR="00A944CA" w:rsidRDefault="00A944CA">
            <w:pPr>
              <w:keepNext/>
              <w:keepLines/>
            </w:pPr>
            <w:r>
              <w:t>Years</w:t>
            </w:r>
          </w:p>
        </w:tc>
        <w:tc>
          <w:tcPr>
            <w:tcW w:w="1854" w:type="dxa"/>
          </w:tcPr>
          <w:p w14:paraId="52CEB948" w14:textId="77777777" w:rsidR="00A944CA" w:rsidRDefault="00A944CA">
            <w:pPr>
              <w:keepNext/>
              <w:keepLines/>
            </w:pPr>
          </w:p>
        </w:tc>
        <w:tc>
          <w:tcPr>
            <w:tcW w:w="1627" w:type="dxa"/>
          </w:tcPr>
          <w:p w14:paraId="5FA6EF2C" w14:textId="77777777" w:rsidR="00A944CA" w:rsidRDefault="00A944CA">
            <w:pPr>
              <w:keepNext/>
              <w:keepLines/>
            </w:pPr>
          </w:p>
        </w:tc>
      </w:tr>
      <w:tr w:rsidR="00A944CA" w14:paraId="6F6F1AD0" w14:textId="77777777">
        <w:trPr>
          <w:cantSplit/>
          <w:jc w:val="center"/>
        </w:trPr>
        <w:tc>
          <w:tcPr>
            <w:tcW w:w="712" w:type="dxa"/>
          </w:tcPr>
          <w:p w14:paraId="00B49FBB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2C606C9A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0A33151C" w14:textId="77777777" w:rsidR="00A944CA" w:rsidRDefault="00A944CA" w:rsidP="001308D7">
            <w:pPr>
              <w:keepNext/>
              <w:keepLines/>
            </w:pPr>
            <w:r>
              <w:t>Initial Construction Cost: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4BD84E3" w14:textId="77777777" w:rsidR="00A944CA" w:rsidRDefault="00A944CA">
            <w:pPr>
              <w:keepNext/>
              <w:keepLines/>
              <w:tabs>
                <w:tab w:val="right" w:pos="161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14:paraId="559FD304" w14:textId="77777777" w:rsidR="00A944CA" w:rsidRDefault="00A944CA">
            <w:pPr>
              <w:keepNext/>
              <w:keepLines/>
            </w:pPr>
          </w:p>
        </w:tc>
      </w:tr>
      <w:tr w:rsidR="00A944CA" w14:paraId="2432A206" w14:textId="77777777">
        <w:trPr>
          <w:cantSplit/>
          <w:jc w:val="center"/>
        </w:trPr>
        <w:tc>
          <w:tcPr>
            <w:tcW w:w="712" w:type="dxa"/>
          </w:tcPr>
          <w:p w14:paraId="1464A004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735B7611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16CD685C" w14:textId="77777777" w:rsidR="00A944CA" w:rsidRDefault="00A944CA">
            <w:pPr>
              <w:keepNext/>
              <w:keepLines/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1294066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</w:tcPr>
          <w:p w14:paraId="069884FD" w14:textId="77777777" w:rsidR="00A944CA" w:rsidRDefault="00A944CA">
            <w:pPr>
              <w:keepNext/>
              <w:keepLines/>
            </w:pPr>
          </w:p>
        </w:tc>
      </w:tr>
      <w:tr w:rsidR="00A944CA" w14:paraId="73514D33" w14:textId="77777777">
        <w:trPr>
          <w:cantSplit/>
          <w:jc w:val="center"/>
        </w:trPr>
        <w:tc>
          <w:tcPr>
            <w:tcW w:w="712" w:type="dxa"/>
          </w:tcPr>
          <w:p w14:paraId="457E77ED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1FCB9E55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6185F78C" w14:textId="77777777" w:rsidR="00A944CA" w:rsidRDefault="00A944CA" w:rsidP="006E1D67">
            <w:pPr>
              <w:keepNext/>
              <w:keepLines/>
              <w:ind w:left="271" w:hanging="271"/>
            </w:pPr>
            <w:r>
              <w:t xml:space="preserve">Future Maintenance &amp; Rehabilitation </w:t>
            </w:r>
            <w:proofErr w:type="gramStart"/>
            <w:r>
              <w:t>Cost:*</w:t>
            </w:r>
            <w:proofErr w:type="gramEnd"/>
            <w:r>
              <w:t>*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69970" w14:textId="77777777" w:rsidR="00A944CA" w:rsidRDefault="00A944CA">
            <w:pPr>
              <w:keepNext/>
              <w:keepLines/>
              <w:tabs>
                <w:tab w:val="right" w:pos="161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27" w:type="dxa"/>
          </w:tcPr>
          <w:p w14:paraId="3FE946E3" w14:textId="77777777" w:rsidR="00A944CA" w:rsidRDefault="00A944CA">
            <w:pPr>
              <w:keepNext/>
              <w:keepLines/>
            </w:pPr>
          </w:p>
        </w:tc>
      </w:tr>
      <w:tr w:rsidR="00A944CA" w14:paraId="1B838C75" w14:textId="77777777">
        <w:trPr>
          <w:cantSplit/>
          <w:jc w:val="center"/>
        </w:trPr>
        <w:tc>
          <w:tcPr>
            <w:tcW w:w="712" w:type="dxa"/>
          </w:tcPr>
          <w:p w14:paraId="110B9C76" w14:textId="77777777" w:rsidR="00A944CA" w:rsidRDefault="00A944CA">
            <w:pPr>
              <w:pStyle w:val="Footer"/>
              <w:keepNext/>
              <w:keepLines/>
              <w:tabs>
                <w:tab w:val="clear" w:pos="4680"/>
                <w:tab w:val="clear" w:pos="9360"/>
              </w:tabs>
            </w:pPr>
          </w:p>
        </w:tc>
        <w:tc>
          <w:tcPr>
            <w:tcW w:w="700" w:type="dxa"/>
          </w:tcPr>
          <w:p w14:paraId="057E02F5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4E442B4C" w14:textId="77777777" w:rsidR="00A944CA" w:rsidRDefault="00A944CA" w:rsidP="006E1D67">
            <w:pPr>
              <w:keepNext/>
              <w:keepLines/>
            </w:pPr>
            <w:r>
              <w:t xml:space="preserve">TOTAL </w:t>
            </w:r>
            <w:r>
              <w:rPr>
                <w:caps/>
              </w:rPr>
              <w:t>Agency Cost: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83DE897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6A10A47F" w14:textId="77777777" w:rsidR="00A944CA" w:rsidRDefault="00A944CA">
            <w:pPr>
              <w:keepNext/>
              <w:keepLines/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6AB7DC25" w14:textId="77777777">
        <w:trPr>
          <w:cantSplit/>
          <w:jc w:val="center"/>
        </w:trPr>
        <w:tc>
          <w:tcPr>
            <w:tcW w:w="712" w:type="dxa"/>
          </w:tcPr>
          <w:p w14:paraId="20B022B2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202FD75D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6665D650" w14:textId="77777777" w:rsidR="00A944CA" w:rsidRDefault="002516AB" w:rsidP="006E1D67">
            <w:pPr>
              <w:pStyle w:val="Footer"/>
              <w:keepNext/>
              <w:keepLines/>
              <w:tabs>
                <w:tab w:val="clear" w:pos="4680"/>
                <w:tab w:val="clear" w:pos="9360"/>
              </w:tabs>
              <w:rPr>
                <w:caps/>
              </w:rPr>
            </w:pPr>
            <w:r>
              <w:rPr>
                <w:caps/>
              </w:rPr>
              <w:t xml:space="preserve">Total </w:t>
            </w:r>
            <w:r w:rsidR="00A944CA">
              <w:rPr>
                <w:caps/>
              </w:rPr>
              <w:t>User Cost:</w:t>
            </w:r>
          </w:p>
        </w:tc>
        <w:tc>
          <w:tcPr>
            <w:tcW w:w="1854" w:type="dxa"/>
          </w:tcPr>
          <w:p w14:paraId="6BDB987F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62762D61" w14:textId="77777777" w:rsidR="00A944CA" w:rsidRDefault="00A944CA">
            <w:pPr>
              <w:keepNext/>
              <w:keepLines/>
            </w:pPr>
            <w:r>
              <w:t>$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4DACC82D" w14:textId="77777777">
        <w:trPr>
          <w:cantSplit/>
          <w:jc w:val="center"/>
        </w:trPr>
        <w:tc>
          <w:tcPr>
            <w:tcW w:w="712" w:type="dxa"/>
          </w:tcPr>
          <w:p w14:paraId="2A856596" w14:textId="77777777" w:rsidR="00A944CA" w:rsidRDefault="00A944CA"/>
        </w:tc>
        <w:tc>
          <w:tcPr>
            <w:tcW w:w="700" w:type="dxa"/>
          </w:tcPr>
          <w:p w14:paraId="5A9705C8" w14:textId="77777777" w:rsidR="00A944CA" w:rsidRDefault="00A944CA"/>
        </w:tc>
        <w:tc>
          <w:tcPr>
            <w:tcW w:w="4102" w:type="dxa"/>
            <w:gridSpan w:val="3"/>
          </w:tcPr>
          <w:p w14:paraId="6EC59EC6" w14:textId="77777777" w:rsidR="00A944CA" w:rsidRDefault="00A944CA" w:rsidP="006E1D6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Total Life</w:t>
            </w:r>
            <w:r>
              <w:rPr>
                <w:b/>
                <w:bCs/>
                <w:caps/>
              </w:rPr>
              <w:noBreakHyphen/>
              <w:t>Cycle Cost:</w:t>
            </w:r>
          </w:p>
        </w:tc>
        <w:tc>
          <w:tcPr>
            <w:tcW w:w="1854" w:type="dxa"/>
          </w:tcPr>
          <w:p w14:paraId="2E68F8F5" w14:textId="77777777" w:rsidR="00A944CA" w:rsidRDefault="00A944CA">
            <w:pPr>
              <w:tabs>
                <w:tab w:val="right" w:pos="1612"/>
              </w:tabs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0C239F8E" w14:textId="77777777" w:rsidR="00A944CA" w:rsidRDefault="00A944CA">
            <w:r>
              <w:t>$</w:t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7377BD49" w14:textId="77777777">
        <w:trPr>
          <w:cantSplit/>
          <w:jc w:val="center"/>
        </w:trPr>
        <w:tc>
          <w:tcPr>
            <w:tcW w:w="712" w:type="dxa"/>
          </w:tcPr>
          <w:p w14:paraId="78884C06" w14:textId="77777777" w:rsidR="00A944CA" w:rsidRDefault="00A944CA"/>
        </w:tc>
        <w:tc>
          <w:tcPr>
            <w:tcW w:w="8283" w:type="dxa"/>
            <w:gridSpan w:val="6"/>
          </w:tcPr>
          <w:p w14:paraId="1FD96EAE" w14:textId="77777777" w:rsidR="00A944CA" w:rsidRDefault="00A944CA">
            <w:pPr>
              <w:pStyle w:val="TOC1"/>
            </w:pPr>
          </w:p>
        </w:tc>
      </w:tr>
      <w:tr w:rsidR="00A944CA" w14:paraId="0265AC68" w14:textId="77777777">
        <w:trPr>
          <w:cantSplit/>
          <w:trHeight w:val="66"/>
          <w:jc w:val="center"/>
        </w:trPr>
        <w:tc>
          <w:tcPr>
            <w:tcW w:w="712" w:type="dxa"/>
          </w:tcPr>
          <w:p w14:paraId="53A57C93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0EA8F257" w14:textId="77777777" w:rsidR="00A944CA" w:rsidRDefault="00A944CA" w:rsidP="00454BDA">
            <w:pPr>
              <w:keepNext/>
              <w:keepLines/>
              <w:spacing w:after="120"/>
            </w:pPr>
            <w:r w:rsidRPr="00100394">
              <w:rPr>
                <w:b/>
              </w:rPr>
              <w:t>Alternative 2:</w:t>
            </w:r>
            <w:r>
              <w:rPr>
                <w:rStyle w:val="FootnoteReference"/>
              </w:rPr>
              <w:footnoteReference w:customMarkFollows="1" w:id="1"/>
              <w:sym w:font="Wingdings 2" w:char="F0E9"/>
            </w:r>
            <w:r>
              <w:br/>
            </w:r>
            <w:r>
              <w:rPr>
                <w:i/>
                <w:iCs/>
              </w:rPr>
              <w:t>Briefly describe the pavement strategy and differences in scope from Alternative 1.</w:t>
            </w:r>
          </w:p>
        </w:tc>
      </w:tr>
      <w:tr w:rsidR="00A944CA" w14:paraId="692B3C68" w14:textId="77777777">
        <w:trPr>
          <w:cantSplit/>
          <w:jc w:val="center"/>
        </w:trPr>
        <w:tc>
          <w:tcPr>
            <w:tcW w:w="712" w:type="dxa"/>
          </w:tcPr>
          <w:p w14:paraId="1193B91F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6B319B99" w14:textId="699C6B07" w:rsidR="00982CA5" w:rsidRDefault="00A944CA" w:rsidP="005A2238">
            <w:pPr>
              <w:keepNext/>
              <w:keepLines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7D3CB64A" w14:textId="77777777">
        <w:trPr>
          <w:cantSplit/>
          <w:jc w:val="center"/>
        </w:trPr>
        <w:tc>
          <w:tcPr>
            <w:tcW w:w="712" w:type="dxa"/>
          </w:tcPr>
          <w:p w14:paraId="3AB95D7D" w14:textId="77777777" w:rsidR="00A944CA" w:rsidRDefault="00A944CA">
            <w:pPr>
              <w:keepNext/>
              <w:keepLines/>
            </w:pPr>
          </w:p>
        </w:tc>
        <w:tc>
          <w:tcPr>
            <w:tcW w:w="8283" w:type="dxa"/>
            <w:gridSpan w:val="6"/>
          </w:tcPr>
          <w:p w14:paraId="744459FA" w14:textId="77777777" w:rsidR="00A944CA" w:rsidRDefault="00A944CA">
            <w:pPr>
              <w:keepNext/>
              <w:keepLines/>
            </w:pPr>
          </w:p>
        </w:tc>
      </w:tr>
      <w:tr w:rsidR="00A944CA" w14:paraId="526A3FE7" w14:textId="77777777">
        <w:trPr>
          <w:cantSplit/>
          <w:jc w:val="center"/>
        </w:trPr>
        <w:tc>
          <w:tcPr>
            <w:tcW w:w="712" w:type="dxa"/>
          </w:tcPr>
          <w:p w14:paraId="1D2A396F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77EA173C" w14:textId="77777777" w:rsidR="00A944CA" w:rsidRDefault="00A944CA">
            <w:pPr>
              <w:keepNext/>
              <w:keepLines/>
            </w:pPr>
          </w:p>
        </w:tc>
        <w:tc>
          <w:tcPr>
            <w:tcW w:w="2473" w:type="dxa"/>
          </w:tcPr>
          <w:p w14:paraId="6A8A56AD" w14:textId="77777777" w:rsidR="00A944CA" w:rsidRDefault="00A944CA">
            <w:pPr>
              <w:keepNext/>
              <w:keepLines/>
            </w:pPr>
            <w:r>
              <w:t>Pavement Design Life: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82C0AAE" w14:textId="1F80DC6F" w:rsidR="00A944CA" w:rsidRDefault="00A944CA">
            <w:pPr>
              <w:keepNext/>
              <w:keepLines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9" w:type="dxa"/>
          </w:tcPr>
          <w:p w14:paraId="2CA29B44" w14:textId="77777777" w:rsidR="00A944CA" w:rsidRDefault="00A944CA">
            <w:pPr>
              <w:keepNext/>
              <w:keepLines/>
            </w:pPr>
            <w:r>
              <w:t>Years</w:t>
            </w:r>
          </w:p>
        </w:tc>
        <w:tc>
          <w:tcPr>
            <w:tcW w:w="1854" w:type="dxa"/>
          </w:tcPr>
          <w:p w14:paraId="752B4250" w14:textId="77777777" w:rsidR="00A944CA" w:rsidRDefault="00A944CA">
            <w:pPr>
              <w:keepNext/>
              <w:keepLines/>
            </w:pPr>
          </w:p>
        </w:tc>
        <w:tc>
          <w:tcPr>
            <w:tcW w:w="1627" w:type="dxa"/>
          </w:tcPr>
          <w:p w14:paraId="179BE343" w14:textId="77777777" w:rsidR="00A944CA" w:rsidRDefault="00A944CA">
            <w:pPr>
              <w:keepNext/>
              <w:keepLines/>
            </w:pPr>
          </w:p>
        </w:tc>
      </w:tr>
      <w:tr w:rsidR="00A944CA" w14:paraId="27B01784" w14:textId="77777777">
        <w:trPr>
          <w:cantSplit/>
          <w:jc w:val="center"/>
        </w:trPr>
        <w:tc>
          <w:tcPr>
            <w:tcW w:w="712" w:type="dxa"/>
          </w:tcPr>
          <w:p w14:paraId="51227475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31DA89CA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27E4E9B2" w14:textId="77777777" w:rsidR="00A944CA" w:rsidRDefault="00D24512" w:rsidP="001308D7">
            <w:pPr>
              <w:keepNext/>
              <w:keepLines/>
            </w:pPr>
            <w:r>
              <w:t>Initial Construction Cost: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3E606F1" w14:textId="77777777" w:rsidR="00A944CA" w:rsidRDefault="00A944CA">
            <w:pPr>
              <w:keepNext/>
              <w:keepLines/>
              <w:tabs>
                <w:tab w:val="right" w:pos="161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14:paraId="7AA504A5" w14:textId="77777777" w:rsidR="00A944CA" w:rsidRDefault="00A944CA">
            <w:pPr>
              <w:keepNext/>
              <w:keepLines/>
            </w:pPr>
          </w:p>
        </w:tc>
      </w:tr>
      <w:tr w:rsidR="00A944CA" w14:paraId="3CAA2E1F" w14:textId="77777777">
        <w:trPr>
          <w:cantSplit/>
          <w:jc w:val="center"/>
        </w:trPr>
        <w:tc>
          <w:tcPr>
            <w:tcW w:w="712" w:type="dxa"/>
          </w:tcPr>
          <w:p w14:paraId="2982FA3F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20C70DD1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0F69D6FB" w14:textId="77777777" w:rsidR="00A944CA" w:rsidRDefault="00A944CA">
            <w:pPr>
              <w:keepNext/>
              <w:keepLines/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A691CAB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</w:tcPr>
          <w:p w14:paraId="5D7DC2E2" w14:textId="77777777" w:rsidR="00A944CA" w:rsidRDefault="00A944CA">
            <w:pPr>
              <w:keepNext/>
              <w:keepLines/>
            </w:pPr>
          </w:p>
        </w:tc>
      </w:tr>
      <w:tr w:rsidR="00A944CA" w14:paraId="5A1870E7" w14:textId="77777777">
        <w:trPr>
          <w:cantSplit/>
          <w:jc w:val="center"/>
        </w:trPr>
        <w:tc>
          <w:tcPr>
            <w:tcW w:w="712" w:type="dxa"/>
          </w:tcPr>
          <w:p w14:paraId="67B822D1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1E1C97AD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49F382F7" w14:textId="77777777" w:rsidR="00A944CA" w:rsidRDefault="00A944CA" w:rsidP="006E1D67">
            <w:pPr>
              <w:pStyle w:val="DoubleSigBlock"/>
              <w:keepLines/>
              <w:tabs>
                <w:tab w:val="clear" w:pos="4320"/>
                <w:tab w:val="clear" w:pos="5040"/>
                <w:tab w:val="clear" w:pos="9360"/>
              </w:tabs>
              <w:ind w:left="271" w:hanging="271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Future Maintenance &amp; Rehabilitation </w:t>
            </w:r>
            <w:proofErr w:type="gramStart"/>
            <w:r>
              <w:rPr>
                <w:kern w:val="0"/>
                <w:szCs w:val="24"/>
              </w:rPr>
              <w:t>Cost:*</w:t>
            </w:r>
            <w:proofErr w:type="gramEnd"/>
            <w:r>
              <w:rPr>
                <w:kern w:val="0"/>
                <w:szCs w:val="24"/>
              </w:rPr>
              <w:t>*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14:paraId="1DF423A3" w14:textId="77777777" w:rsidR="00A944CA" w:rsidRDefault="00A944CA">
            <w:pPr>
              <w:keepNext/>
              <w:keepLines/>
              <w:tabs>
                <w:tab w:val="right" w:pos="161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</w:tcPr>
          <w:p w14:paraId="3A07D8E4" w14:textId="77777777" w:rsidR="00A944CA" w:rsidRDefault="00A944CA">
            <w:pPr>
              <w:keepNext/>
              <w:keepLines/>
            </w:pPr>
          </w:p>
        </w:tc>
      </w:tr>
      <w:tr w:rsidR="00A944CA" w14:paraId="6AA50C6F" w14:textId="77777777">
        <w:trPr>
          <w:cantSplit/>
          <w:jc w:val="center"/>
        </w:trPr>
        <w:tc>
          <w:tcPr>
            <w:tcW w:w="712" w:type="dxa"/>
          </w:tcPr>
          <w:p w14:paraId="76B03218" w14:textId="77777777" w:rsidR="00A944CA" w:rsidRDefault="00A944CA">
            <w:pPr>
              <w:pStyle w:val="Footer"/>
              <w:keepNext/>
              <w:keepLines/>
              <w:tabs>
                <w:tab w:val="clear" w:pos="4680"/>
                <w:tab w:val="clear" w:pos="9360"/>
              </w:tabs>
            </w:pPr>
          </w:p>
        </w:tc>
        <w:tc>
          <w:tcPr>
            <w:tcW w:w="700" w:type="dxa"/>
          </w:tcPr>
          <w:p w14:paraId="607EBD4D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7931131A" w14:textId="77777777" w:rsidR="00A944CA" w:rsidRDefault="00A944CA" w:rsidP="006E1D67">
            <w:pPr>
              <w:keepNext/>
              <w:keepLines/>
            </w:pPr>
            <w:r>
              <w:t xml:space="preserve">TOTAL </w:t>
            </w:r>
            <w:r>
              <w:rPr>
                <w:caps/>
              </w:rPr>
              <w:t>Agency Cost: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6AB6CE5E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0217EB28" w14:textId="77777777" w:rsidR="00A944CA" w:rsidRDefault="00A944CA">
            <w:pPr>
              <w:keepNext/>
              <w:keepLines/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40BDCE4D" w14:textId="77777777">
        <w:trPr>
          <w:cantSplit/>
          <w:jc w:val="center"/>
        </w:trPr>
        <w:tc>
          <w:tcPr>
            <w:tcW w:w="712" w:type="dxa"/>
          </w:tcPr>
          <w:p w14:paraId="58DAF34A" w14:textId="77777777" w:rsidR="00A944CA" w:rsidRDefault="00A944CA">
            <w:pPr>
              <w:keepNext/>
              <w:keepLines/>
            </w:pPr>
          </w:p>
        </w:tc>
        <w:tc>
          <w:tcPr>
            <w:tcW w:w="700" w:type="dxa"/>
          </w:tcPr>
          <w:p w14:paraId="62B43D1D" w14:textId="77777777" w:rsidR="00A944CA" w:rsidRDefault="00A944CA">
            <w:pPr>
              <w:keepNext/>
              <w:keepLines/>
            </w:pPr>
          </w:p>
        </w:tc>
        <w:tc>
          <w:tcPr>
            <w:tcW w:w="4102" w:type="dxa"/>
            <w:gridSpan w:val="3"/>
          </w:tcPr>
          <w:p w14:paraId="37997C91" w14:textId="77777777" w:rsidR="00A944CA" w:rsidRDefault="002516AB" w:rsidP="006E1D67">
            <w:pPr>
              <w:pStyle w:val="Footer"/>
              <w:keepNext/>
              <w:keepLines/>
              <w:tabs>
                <w:tab w:val="clear" w:pos="4680"/>
                <w:tab w:val="clear" w:pos="9360"/>
              </w:tabs>
              <w:rPr>
                <w:caps/>
              </w:rPr>
            </w:pPr>
            <w:r>
              <w:rPr>
                <w:caps/>
              </w:rPr>
              <w:t xml:space="preserve">Total </w:t>
            </w:r>
            <w:r w:rsidR="00A944CA">
              <w:rPr>
                <w:caps/>
              </w:rPr>
              <w:t>User Cost:</w:t>
            </w:r>
          </w:p>
        </w:tc>
        <w:tc>
          <w:tcPr>
            <w:tcW w:w="1854" w:type="dxa"/>
          </w:tcPr>
          <w:p w14:paraId="164CAA42" w14:textId="77777777" w:rsidR="00A944CA" w:rsidRDefault="00A944CA">
            <w:pPr>
              <w:keepNext/>
              <w:keepLines/>
              <w:tabs>
                <w:tab w:val="right" w:pos="1612"/>
              </w:tabs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162C68D1" w14:textId="77777777" w:rsidR="00A944CA" w:rsidRDefault="00A944CA">
            <w:pPr>
              <w:keepNext/>
              <w:keepLines/>
            </w:pPr>
            <w:r>
              <w:t>$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44BBC928" w14:textId="77777777">
        <w:trPr>
          <w:cantSplit/>
          <w:jc w:val="center"/>
        </w:trPr>
        <w:tc>
          <w:tcPr>
            <w:tcW w:w="712" w:type="dxa"/>
          </w:tcPr>
          <w:p w14:paraId="4CA0388A" w14:textId="77777777" w:rsidR="00A944CA" w:rsidRDefault="00A944CA"/>
        </w:tc>
        <w:tc>
          <w:tcPr>
            <w:tcW w:w="700" w:type="dxa"/>
          </w:tcPr>
          <w:p w14:paraId="39A5D46F" w14:textId="77777777" w:rsidR="00A944CA" w:rsidRDefault="00A944CA"/>
        </w:tc>
        <w:tc>
          <w:tcPr>
            <w:tcW w:w="4102" w:type="dxa"/>
            <w:gridSpan w:val="3"/>
          </w:tcPr>
          <w:p w14:paraId="29D3790C" w14:textId="77777777" w:rsidR="00A944CA" w:rsidRDefault="00A944CA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Total Life</w:t>
            </w:r>
            <w:r>
              <w:rPr>
                <w:b/>
                <w:bCs/>
                <w:caps/>
              </w:rPr>
              <w:noBreakHyphen/>
              <w:t>Cycle Cost:</w:t>
            </w:r>
          </w:p>
        </w:tc>
        <w:tc>
          <w:tcPr>
            <w:tcW w:w="1854" w:type="dxa"/>
          </w:tcPr>
          <w:p w14:paraId="30D78938" w14:textId="77777777" w:rsidR="00A944CA" w:rsidRDefault="00A944CA">
            <w:pPr>
              <w:tabs>
                <w:tab w:val="right" w:pos="1612"/>
              </w:tabs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57B7E43C" w14:textId="77777777" w:rsidR="00A944CA" w:rsidRDefault="00A944CA">
            <w:r>
              <w:t>$</w:t>
            </w:r>
            <w: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7ABB5DBF" w14:textId="77777777">
        <w:trPr>
          <w:cantSplit/>
          <w:jc w:val="center"/>
        </w:trPr>
        <w:tc>
          <w:tcPr>
            <w:tcW w:w="712" w:type="dxa"/>
          </w:tcPr>
          <w:p w14:paraId="7320EAEE" w14:textId="77777777" w:rsidR="00A944CA" w:rsidRDefault="00A944CA">
            <w:pPr>
              <w:keepNext/>
              <w:keepLines/>
              <w:rPr>
                <w:sz w:val="20"/>
              </w:rPr>
            </w:pPr>
          </w:p>
        </w:tc>
        <w:tc>
          <w:tcPr>
            <w:tcW w:w="8283" w:type="dxa"/>
            <w:gridSpan w:val="6"/>
          </w:tcPr>
          <w:p w14:paraId="50E19FC6" w14:textId="77777777" w:rsidR="00A944CA" w:rsidRDefault="00A944CA">
            <w:pPr>
              <w:keepNext/>
              <w:keepLines/>
            </w:pPr>
          </w:p>
        </w:tc>
      </w:tr>
      <w:tr w:rsidR="00A944CA" w14:paraId="5E8C07F7" w14:textId="77777777">
        <w:trPr>
          <w:cantSplit/>
          <w:jc w:val="center"/>
        </w:trPr>
        <w:tc>
          <w:tcPr>
            <w:tcW w:w="712" w:type="dxa"/>
          </w:tcPr>
          <w:p w14:paraId="01085B08" w14:textId="77777777" w:rsidR="00A944CA" w:rsidRDefault="00A944CA">
            <w:pPr>
              <w:keepNext/>
              <w:keepLines/>
              <w:rPr>
                <w:sz w:val="20"/>
              </w:rPr>
            </w:pPr>
          </w:p>
        </w:tc>
        <w:tc>
          <w:tcPr>
            <w:tcW w:w="8283" w:type="dxa"/>
            <w:gridSpan w:val="6"/>
          </w:tcPr>
          <w:p w14:paraId="3898F216" w14:textId="77777777" w:rsidR="00A944CA" w:rsidRDefault="00F34341">
            <w:pPr>
              <w:keepNext/>
              <w:keepLines/>
              <w:spacing w:after="120"/>
            </w:pPr>
            <w:r w:rsidRPr="00DC42BF">
              <w:rPr>
                <w:i/>
              </w:rPr>
              <w:t>Is</w:t>
            </w:r>
            <w:r w:rsidR="00E27B77" w:rsidRPr="00DC42BF">
              <w:rPr>
                <w:i/>
              </w:rPr>
              <w:t xml:space="preserve"> the lowest life cycle cost option selected as the recommended alternative? If not, </w:t>
            </w:r>
            <w:proofErr w:type="gramStart"/>
            <w:r w:rsidR="00E27B77" w:rsidRPr="00DC42BF">
              <w:rPr>
                <w:i/>
              </w:rPr>
              <w:t>why?</w:t>
            </w:r>
            <w:r w:rsidR="00A944CA" w:rsidRPr="00DC42BF">
              <w:rPr>
                <w:i/>
              </w:rPr>
              <w:t>:</w:t>
            </w:r>
            <w:proofErr w:type="gramEnd"/>
          </w:p>
        </w:tc>
      </w:tr>
      <w:tr w:rsidR="00A944CA" w14:paraId="319F56BE" w14:textId="77777777">
        <w:trPr>
          <w:cantSplit/>
          <w:jc w:val="center"/>
        </w:trPr>
        <w:tc>
          <w:tcPr>
            <w:tcW w:w="712" w:type="dxa"/>
          </w:tcPr>
          <w:p w14:paraId="3D1A6918" w14:textId="77777777" w:rsidR="00A944CA" w:rsidRDefault="00A944CA">
            <w:pPr>
              <w:keepLines/>
            </w:pPr>
          </w:p>
        </w:tc>
        <w:tc>
          <w:tcPr>
            <w:tcW w:w="8283" w:type="dxa"/>
            <w:gridSpan w:val="6"/>
          </w:tcPr>
          <w:p w14:paraId="393E99CE" w14:textId="30C2D0B3" w:rsidR="00982CA5" w:rsidRDefault="00A944CA" w:rsidP="005A2238">
            <w:pPr>
              <w:keepLines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CA" w14:paraId="73A1D083" w14:textId="77777777">
        <w:trPr>
          <w:cantSplit/>
          <w:jc w:val="center"/>
        </w:trPr>
        <w:tc>
          <w:tcPr>
            <w:tcW w:w="712" w:type="dxa"/>
          </w:tcPr>
          <w:p w14:paraId="48CF87DF" w14:textId="77777777" w:rsidR="00A944CA" w:rsidRDefault="00A944CA"/>
        </w:tc>
        <w:tc>
          <w:tcPr>
            <w:tcW w:w="8283" w:type="dxa"/>
            <w:gridSpan w:val="6"/>
          </w:tcPr>
          <w:p w14:paraId="5C9C4F7A" w14:textId="77777777" w:rsidR="00A944CA" w:rsidRDefault="00A944CA">
            <w:pPr>
              <w:pStyle w:val="TOC1"/>
            </w:pPr>
          </w:p>
        </w:tc>
      </w:tr>
    </w:tbl>
    <w:p w14:paraId="21C91F96" w14:textId="77777777" w:rsidR="00A944CA" w:rsidRDefault="00A944CA">
      <w:pPr>
        <w:pStyle w:val="TOC1"/>
      </w:pPr>
    </w:p>
    <w:sectPr w:rsidR="00A944CA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43588" w14:textId="77777777" w:rsidR="00B678A8" w:rsidRDefault="00B678A8">
      <w:r>
        <w:separator/>
      </w:r>
    </w:p>
  </w:endnote>
  <w:endnote w:type="continuationSeparator" w:id="0">
    <w:p w14:paraId="594CC183" w14:textId="77777777" w:rsidR="00B678A8" w:rsidRDefault="00B6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B921" w14:textId="77777777" w:rsidR="00B678A8" w:rsidRDefault="00B678A8">
      <w:r>
        <w:separator/>
      </w:r>
    </w:p>
  </w:footnote>
  <w:footnote w:type="continuationSeparator" w:id="0">
    <w:p w14:paraId="65808605" w14:textId="77777777" w:rsidR="00B678A8" w:rsidRDefault="00B678A8">
      <w:r>
        <w:continuationSeparator/>
      </w:r>
    </w:p>
  </w:footnote>
  <w:footnote w:id="1">
    <w:p w14:paraId="6006D5E0" w14:textId="77777777" w:rsidR="006918D6" w:rsidRDefault="006918D6">
      <w:pPr>
        <w:pStyle w:val="FootnoteText"/>
        <w:tabs>
          <w:tab w:val="left" w:pos="1080"/>
        </w:tabs>
        <w:ind w:firstLine="720"/>
        <w:rPr>
          <w:sz w:val="20"/>
        </w:rPr>
      </w:pPr>
      <w:r>
        <w:rPr>
          <w:rStyle w:val="FootnoteReference"/>
          <w:b/>
          <w:bCs/>
        </w:rPr>
        <w:sym w:font="Wingdings 2" w:char="F0E9"/>
      </w:r>
      <w:r>
        <w:rPr>
          <w:b/>
          <w:bCs/>
        </w:rPr>
        <w:t xml:space="preserve"> </w:t>
      </w:r>
      <w:r>
        <w:tab/>
      </w:r>
      <w:r>
        <w:rPr>
          <w:sz w:val="20"/>
        </w:rPr>
        <w:t>Repeat as often as needed, with appropriate numbering, to cover all pavement alternatives investigated.</w:t>
      </w:r>
    </w:p>
    <w:p w14:paraId="0147DA3B" w14:textId="77777777" w:rsidR="006918D6" w:rsidRDefault="006918D6">
      <w:pPr>
        <w:pStyle w:val="FootnoteText"/>
        <w:tabs>
          <w:tab w:val="left" w:pos="1080"/>
        </w:tabs>
        <w:ind w:firstLine="720"/>
      </w:pPr>
      <w:r>
        <w:rPr>
          <w:b/>
          <w:bCs/>
          <w:sz w:val="20"/>
        </w:rPr>
        <w:t xml:space="preserve">** </w:t>
      </w:r>
      <w:r>
        <w:rPr>
          <w:sz w:val="20"/>
        </w:rPr>
        <w:tab/>
        <w:t>Includes future maintenance, construction, and project support costs.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7699" w14:textId="77777777" w:rsidR="006918D6" w:rsidRPr="00C01A37" w:rsidRDefault="006918D6" w:rsidP="00C01A37">
    <w:pPr>
      <w:pStyle w:val="Header"/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  <w:t>Documenting Life-Cycle Cost Analysis for Pavements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0AAE" w14:textId="77777777" w:rsidR="006918D6" w:rsidRDefault="006918D6">
    <w:pPr>
      <w:pStyle w:val="Header"/>
      <w:rPr>
        <w:sz w:val="18"/>
      </w:rPr>
    </w:pPr>
    <w:r>
      <w:rPr>
        <w:sz w:val="18"/>
      </w:rPr>
      <w:t>Appendixes</w:t>
    </w:r>
  </w:p>
  <w:p w14:paraId="780A94AB" w14:textId="77777777" w:rsidR="006918D6" w:rsidRDefault="006918D6">
    <w:pPr>
      <w:pStyle w:val="Header"/>
      <w:rPr>
        <w:sz w:val="18"/>
        <w:u w:val="single"/>
      </w:rPr>
    </w:pPr>
    <w:r>
      <w:rPr>
        <w:sz w:val="18"/>
        <w:u w:val="single"/>
      </w:rPr>
      <w:t>Project Development Forms and Letters plus Policy and Procedures Documents</w:t>
    </w:r>
    <w:r>
      <w:rPr>
        <w:sz w:val="18"/>
        <w:u w:val="single"/>
      </w:rPr>
      <w:tab/>
    </w:r>
  </w:p>
  <w:p w14:paraId="48F64DB2" w14:textId="77777777" w:rsidR="006918D6" w:rsidRDefault="00691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D1652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00A95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10AAC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52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3A8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CDEEB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2A1247B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0" w:firstLine="504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"/>
      <w:lvlJc w:val="left"/>
      <w:pPr>
        <w:tabs>
          <w:tab w:val="num" w:pos="1584"/>
        </w:tabs>
        <w:ind w:left="0" w:firstLine="12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Heading7"/>
      <w:suff w:val="nothing"/>
      <w:lvlText w:val="%8"/>
      <w:lvlJc w:val="left"/>
      <w:pPr>
        <w:ind w:left="0" w:firstLine="504"/>
      </w:pPr>
      <w:rPr>
        <w:rFonts w:hint="default"/>
      </w:rPr>
    </w:lvl>
    <w:lvl w:ilvl="8">
      <w:start w:val="1"/>
      <w:numFmt w:val="lowerLetter"/>
      <w:lvlRestart w:val="0"/>
      <w:suff w:val="nothing"/>
      <w:lvlText w:val="%9"/>
      <w:lvlJc w:val="left"/>
      <w:pPr>
        <w:ind w:left="0" w:firstLine="864"/>
      </w:pPr>
      <w:rPr>
        <w:rFonts w:ascii="Times New Roman" w:hAnsi="Times New Roman" w:hint="default"/>
        <w:b/>
        <w:i w:val="0"/>
        <w:sz w:val="22"/>
      </w:rPr>
    </w:lvl>
  </w:abstractNum>
  <w:abstractNum w:abstractNumId="7" w15:restartNumberingAfterBreak="0">
    <w:nsid w:val="02E41120"/>
    <w:multiLevelType w:val="multilevel"/>
    <w:tmpl w:val="A344E528"/>
    <w:lvl w:ilvl="0">
      <w:start w:val="1"/>
      <w:numFmt w:val="decimal"/>
      <w:pStyle w:val="Outlin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864"/>
      </w:pPr>
      <w:rPr>
        <w:rFonts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4"/>
        </w:tabs>
        <w:ind w:left="4824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432" w:hanging="1584"/>
      </w:pPr>
      <w:rPr>
        <w:rFonts w:hint="default"/>
      </w:rPr>
    </w:lvl>
  </w:abstractNum>
  <w:abstractNum w:abstractNumId="8" w15:restartNumberingAfterBreak="0">
    <w:nsid w:val="05D725F2"/>
    <w:multiLevelType w:val="multilevel"/>
    <w:tmpl w:val="4D8C6CB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w w:val="100"/>
        <w:kern w:val="0"/>
        <w:position w:val="0"/>
        <w:u w:val="none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0"/>
        <w:w w:val="100"/>
        <w:kern w:val="0"/>
        <w:position w:val="0"/>
        <w:u w:val="none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4"/>
        <w:u w:val="none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w w:val="100"/>
        <w:kern w:val="0"/>
        <w:position w:val="0"/>
        <w:u w:val="none"/>
      </w:rPr>
    </w:lvl>
    <w:lvl w:ilvl="4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9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224"/>
      </w:pPr>
      <w:rPr>
        <w:rFonts w:hint="default"/>
      </w:rPr>
    </w:lvl>
  </w:abstractNum>
  <w:abstractNum w:abstractNumId="9" w15:restartNumberingAfterBreak="0">
    <w:nsid w:val="1E776E24"/>
    <w:multiLevelType w:val="multilevel"/>
    <w:tmpl w:val="4DB0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864"/>
      </w:pPr>
      <w:rPr>
        <w:rFonts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6361B5B"/>
    <w:multiLevelType w:val="hybridMultilevel"/>
    <w:tmpl w:val="6B260D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243A4"/>
    <w:multiLevelType w:val="multilevel"/>
    <w:tmpl w:val="56547124"/>
    <w:lvl w:ilvl="0">
      <w:start w:val="1"/>
      <w:numFmt w:val="upperRoman"/>
      <w:pStyle w:val="RomanOutline--RT"/>
      <w:lvlText w:val="%1."/>
      <w:lvlJc w:val="right"/>
      <w:pPr>
        <w:tabs>
          <w:tab w:val="num" w:pos="936"/>
        </w:tabs>
        <w:ind w:left="936" w:hanging="288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1440"/>
        </w:tabs>
        <w:ind w:left="1440" w:hanging="504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2">
      <w:start w:val="1"/>
      <w:numFmt w:val="decimal"/>
      <w:lvlRestart w:val="0"/>
      <w:lvlText w:val="%3."/>
      <w:lvlJc w:val="right"/>
      <w:pPr>
        <w:tabs>
          <w:tab w:val="num" w:pos="2016"/>
        </w:tabs>
        <w:ind w:left="2016" w:hanging="288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448"/>
        </w:tabs>
        <w:ind w:left="2448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4">
      <w:start w:val="1"/>
      <w:numFmt w:val="lowerRoman"/>
      <w:lvlRestart w:val="0"/>
      <w:lvlText w:val="%5."/>
      <w:lvlJc w:val="right"/>
      <w:pPr>
        <w:tabs>
          <w:tab w:val="num" w:pos="3168"/>
        </w:tabs>
        <w:ind w:left="3168" w:hanging="288"/>
      </w:pPr>
      <w:rPr>
        <w:rFonts w:hint="default"/>
        <w:b w:val="0"/>
        <w:i w:val="0"/>
        <w:spacing w:val="0"/>
        <w:w w:val="100"/>
        <w:kern w:val="0"/>
        <w:position w:val="0"/>
        <w:sz w:val="26"/>
      </w:rPr>
    </w:lvl>
    <w:lvl w:ilvl="5">
      <w:start w:val="1"/>
      <w:numFmt w:val="decimal"/>
      <w:lvlRestart w:val="0"/>
      <w:lvlText w:val="(%6)"/>
      <w:lvlJc w:val="right"/>
      <w:pPr>
        <w:tabs>
          <w:tab w:val="num" w:pos="3888"/>
        </w:tabs>
        <w:ind w:left="3888" w:hanging="288"/>
      </w:pPr>
      <w:rPr>
        <w:rFonts w:hint="default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4392"/>
        </w:tabs>
        <w:ind w:left="4392" w:hanging="504"/>
      </w:pPr>
      <w:rPr>
        <w:rFonts w:hint="default"/>
      </w:rPr>
    </w:lvl>
    <w:lvl w:ilvl="7">
      <w:start w:val="1"/>
      <w:numFmt w:val="lowerRoman"/>
      <w:lvlRestart w:val="0"/>
      <w:lvlText w:val="(%8)"/>
      <w:lvlJc w:val="right"/>
      <w:pPr>
        <w:tabs>
          <w:tab w:val="num" w:pos="5184"/>
        </w:tabs>
        <w:ind w:left="5184" w:hanging="288"/>
      </w:pPr>
      <w:rPr>
        <w:rFonts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7DE6C00"/>
    <w:multiLevelType w:val="hybridMultilevel"/>
    <w:tmpl w:val="C8D62E0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12662DE"/>
    <w:multiLevelType w:val="multilevel"/>
    <w:tmpl w:val="D6646B22"/>
    <w:lvl w:ilvl="0">
      <w:start w:val="1"/>
      <w:numFmt w:val="upperRoman"/>
      <w:pStyle w:val="RomanOutline-LT"/>
      <w:lvlText w:val="%1."/>
      <w:lvlJc w:val="right"/>
      <w:pPr>
        <w:tabs>
          <w:tab w:val="num" w:pos="864"/>
        </w:tabs>
        <w:ind w:left="864" w:hanging="216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1296"/>
        </w:tabs>
        <w:ind w:left="1296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1728"/>
        </w:tabs>
        <w:ind w:left="1728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160"/>
        </w:tabs>
        <w:ind w:left="2160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4">
      <w:start w:val="1"/>
      <w:numFmt w:val="decimal"/>
      <w:lvlRestart w:val="0"/>
      <w:lvlText w:val="(%5)"/>
      <w:lvlJc w:val="left"/>
      <w:pPr>
        <w:tabs>
          <w:tab w:val="num" w:pos="2736"/>
        </w:tabs>
        <w:ind w:left="2736" w:hanging="576"/>
      </w:pPr>
      <w:rPr>
        <w:rFonts w:hint="default"/>
        <w:spacing w:val="0"/>
        <w:w w:val="100"/>
        <w:kern w:val="0"/>
        <w:position w:val="0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3312"/>
        </w:tabs>
        <w:ind w:left="3312" w:hanging="576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</w:rPr>
    </w:lvl>
    <w:lvl w:ilvl="7">
      <w:start w:val="1"/>
      <w:numFmt w:val="bullet"/>
      <w:lvlRestart w:val="0"/>
      <w:lvlText w:val=""/>
      <w:lvlJc w:val="left"/>
      <w:pPr>
        <w:tabs>
          <w:tab w:val="num" w:pos="4176"/>
        </w:tabs>
        <w:ind w:left="4176" w:hanging="432"/>
      </w:pPr>
      <w:rPr>
        <w:rFonts w:ascii="Wingdings" w:hAnsi="Wingdings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4" w15:restartNumberingAfterBreak="0">
    <w:nsid w:val="55543D56"/>
    <w:multiLevelType w:val="multilevel"/>
    <w:tmpl w:val="BC2A49BA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2">
      <w:start w:val="1"/>
      <w:numFmt w:val="decimal"/>
      <w:lvlText w:val="(%3)"/>
      <w:lvlJc w:val="left"/>
      <w:pPr>
        <w:tabs>
          <w:tab w:val="num" w:pos="1368"/>
        </w:tabs>
        <w:ind w:left="1368" w:hanging="504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4">
      <w:start w:val="1"/>
      <w:numFmt w:val="bullet"/>
      <w:lvlText w:val=""/>
      <w:lvlJc w:val="left"/>
      <w:pPr>
        <w:tabs>
          <w:tab w:val="num" w:pos="2376"/>
        </w:tabs>
        <w:ind w:left="2376" w:hanging="504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0"/>
      </w:rPr>
    </w:lvl>
    <w:lvl w:ilvl="5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"/>
        </w:tabs>
        <w:ind w:left="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8"/>
        </w:tabs>
        <w:ind w:left="1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584"/>
      </w:pPr>
      <w:rPr>
        <w:rFonts w:hint="default"/>
      </w:rPr>
    </w:lvl>
  </w:abstractNum>
  <w:abstractNum w:abstractNumId="15" w15:restartNumberingAfterBreak="0">
    <w:nsid w:val="5DC05E3D"/>
    <w:multiLevelType w:val="multilevel"/>
    <w:tmpl w:val="D8DE3FE0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  <w:color w:val="auto"/>
        <w:spacing w:val="0"/>
        <w:w w:val="100"/>
        <w:kern w:val="0"/>
        <w:position w:val="0"/>
        <w:u w:val="none"/>
      </w:rPr>
    </w:lvl>
    <w:lvl w:ilvl="4">
      <w:start w:val="1"/>
      <w:numFmt w:val="bullet"/>
      <w:lvlText w:val="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b w:val="0"/>
        <w:i w:val="0"/>
        <w:spacing w:val="0"/>
        <w:w w:val="100"/>
        <w:kern w:val="0"/>
        <w:position w:val="0"/>
        <w:sz w:val="20"/>
      </w:rPr>
    </w:lvl>
    <w:lvl w:ilvl="5">
      <w:start w:val="1"/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936" w:hanging="93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224" w:hanging="122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97"/>
    <w:rsid w:val="00002FDB"/>
    <w:rsid w:val="00007317"/>
    <w:rsid w:val="00007E84"/>
    <w:rsid w:val="00081987"/>
    <w:rsid w:val="000D4FDE"/>
    <w:rsid w:val="00100394"/>
    <w:rsid w:val="001308D7"/>
    <w:rsid w:val="00195AAB"/>
    <w:rsid w:val="001A78FD"/>
    <w:rsid w:val="001C1DC5"/>
    <w:rsid w:val="001D3A1A"/>
    <w:rsid w:val="00232D8C"/>
    <w:rsid w:val="002406B1"/>
    <w:rsid w:val="00245697"/>
    <w:rsid w:val="002516AB"/>
    <w:rsid w:val="002A24EA"/>
    <w:rsid w:val="002D3172"/>
    <w:rsid w:val="002E2877"/>
    <w:rsid w:val="00322CA9"/>
    <w:rsid w:val="00347375"/>
    <w:rsid w:val="00353554"/>
    <w:rsid w:val="00354028"/>
    <w:rsid w:val="003837C3"/>
    <w:rsid w:val="00387CE7"/>
    <w:rsid w:val="003E33B2"/>
    <w:rsid w:val="003F0B24"/>
    <w:rsid w:val="00413707"/>
    <w:rsid w:val="00414E7E"/>
    <w:rsid w:val="004224C1"/>
    <w:rsid w:val="00433F0D"/>
    <w:rsid w:val="004426CF"/>
    <w:rsid w:val="004466D1"/>
    <w:rsid w:val="00453EFF"/>
    <w:rsid w:val="00454BDA"/>
    <w:rsid w:val="00470610"/>
    <w:rsid w:val="004933C2"/>
    <w:rsid w:val="005460B8"/>
    <w:rsid w:val="005640B4"/>
    <w:rsid w:val="005A2238"/>
    <w:rsid w:val="005A4FFE"/>
    <w:rsid w:val="005B665B"/>
    <w:rsid w:val="005E2F0E"/>
    <w:rsid w:val="00673B71"/>
    <w:rsid w:val="00677E37"/>
    <w:rsid w:val="006918D6"/>
    <w:rsid w:val="006A1708"/>
    <w:rsid w:val="006C45DA"/>
    <w:rsid w:val="006D48A6"/>
    <w:rsid w:val="006D5257"/>
    <w:rsid w:val="006E1D67"/>
    <w:rsid w:val="007132E2"/>
    <w:rsid w:val="00720CB5"/>
    <w:rsid w:val="007321AB"/>
    <w:rsid w:val="007C2279"/>
    <w:rsid w:val="007E3A35"/>
    <w:rsid w:val="00804702"/>
    <w:rsid w:val="0081670B"/>
    <w:rsid w:val="00833E66"/>
    <w:rsid w:val="008416E3"/>
    <w:rsid w:val="008634ED"/>
    <w:rsid w:val="0086785E"/>
    <w:rsid w:val="00896374"/>
    <w:rsid w:val="008B30C3"/>
    <w:rsid w:val="008B4F7C"/>
    <w:rsid w:val="009021E8"/>
    <w:rsid w:val="0091715D"/>
    <w:rsid w:val="00926665"/>
    <w:rsid w:val="00982CA5"/>
    <w:rsid w:val="00987A1F"/>
    <w:rsid w:val="00A0195D"/>
    <w:rsid w:val="00A157C7"/>
    <w:rsid w:val="00A50F69"/>
    <w:rsid w:val="00A944CA"/>
    <w:rsid w:val="00A95888"/>
    <w:rsid w:val="00AA2463"/>
    <w:rsid w:val="00AB479D"/>
    <w:rsid w:val="00AC107F"/>
    <w:rsid w:val="00AC3C94"/>
    <w:rsid w:val="00AE317C"/>
    <w:rsid w:val="00AE4C46"/>
    <w:rsid w:val="00AF5C7C"/>
    <w:rsid w:val="00B42CDD"/>
    <w:rsid w:val="00B678A8"/>
    <w:rsid w:val="00B715DB"/>
    <w:rsid w:val="00B97994"/>
    <w:rsid w:val="00BA0AFE"/>
    <w:rsid w:val="00BB2F74"/>
    <w:rsid w:val="00C01A37"/>
    <w:rsid w:val="00C1251E"/>
    <w:rsid w:val="00C15FC3"/>
    <w:rsid w:val="00C2730E"/>
    <w:rsid w:val="00C3795C"/>
    <w:rsid w:val="00C47137"/>
    <w:rsid w:val="00C6480F"/>
    <w:rsid w:val="00C66A21"/>
    <w:rsid w:val="00D22EA2"/>
    <w:rsid w:val="00D24512"/>
    <w:rsid w:val="00D31E3C"/>
    <w:rsid w:val="00D33AD0"/>
    <w:rsid w:val="00D4000A"/>
    <w:rsid w:val="00D60079"/>
    <w:rsid w:val="00D83CA6"/>
    <w:rsid w:val="00D84601"/>
    <w:rsid w:val="00DA0D6A"/>
    <w:rsid w:val="00DA5798"/>
    <w:rsid w:val="00DA7957"/>
    <w:rsid w:val="00DC42BF"/>
    <w:rsid w:val="00DD5F92"/>
    <w:rsid w:val="00E2746F"/>
    <w:rsid w:val="00E27B77"/>
    <w:rsid w:val="00E56B4D"/>
    <w:rsid w:val="00E766B2"/>
    <w:rsid w:val="00E9692A"/>
    <w:rsid w:val="00EB6558"/>
    <w:rsid w:val="00EC3259"/>
    <w:rsid w:val="00EE342D"/>
    <w:rsid w:val="00F104BA"/>
    <w:rsid w:val="00F1146A"/>
    <w:rsid w:val="00F22D50"/>
    <w:rsid w:val="00F25572"/>
    <w:rsid w:val="00F323E3"/>
    <w:rsid w:val="00F34341"/>
    <w:rsid w:val="00F62587"/>
    <w:rsid w:val="00F757E9"/>
    <w:rsid w:val="00F75EEA"/>
    <w:rsid w:val="00FB143D"/>
    <w:rsid w:val="00FB2930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2D20E"/>
  <w15:docId w15:val="{4A11BAE0-103F-4E14-ADFE-15B6DCB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vanish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</w:rPr>
  </w:style>
  <w:style w:type="paragraph" w:styleId="Heading7">
    <w:name w:val="heading 7"/>
    <w:basedOn w:val="Normal"/>
    <w:next w:val="Normal"/>
    <w:qFormat/>
    <w:pPr>
      <w:numPr>
        <w:ilvl w:val="7"/>
        <w:numId w:val="1"/>
      </w:numPr>
      <w:spacing w:before="240" w:after="60"/>
      <w:outlineLvl w:val="6"/>
    </w:pPr>
    <w:rPr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Heading1"/>
    <w:rPr>
      <w:rFonts w:ascii="Times New Roman" w:hAnsi="Times New Roman"/>
      <w:b w:val="0"/>
      <w:sz w:val="22"/>
    </w:rPr>
  </w:style>
  <w:style w:type="paragraph" w:customStyle="1" w:styleId="DOTFooter">
    <w:name w:val="DOT Footer"/>
    <w:basedOn w:val="Normal"/>
    <w:pPr>
      <w:tabs>
        <w:tab w:val="right" w:pos="9360"/>
      </w:tabs>
      <w:jc w:val="center"/>
    </w:pPr>
    <w:rPr>
      <w:i/>
      <w:iCs/>
      <w:kern w:val="16"/>
      <w:sz w:val="16"/>
    </w:rPr>
  </w:style>
  <w:style w:type="paragraph" w:customStyle="1" w:styleId="DOTHeader">
    <w:name w:val="DOT Header"/>
    <w:basedOn w:val="Normal"/>
    <w:pPr>
      <w:tabs>
        <w:tab w:val="right" w:pos="9360"/>
      </w:tabs>
    </w:pPr>
    <w:rPr>
      <w:kern w:val="16"/>
      <w:sz w:val="16"/>
    </w:rPr>
  </w:style>
  <w:style w:type="paragraph" w:customStyle="1" w:styleId="RightAlignList">
    <w:name w:val="Right Align List"/>
    <w:basedOn w:val="Normal"/>
    <w:pPr>
      <w:tabs>
        <w:tab w:val="num" w:pos="576"/>
      </w:tabs>
      <w:ind w:left="576" w:hanging="288"/>
    </w:pPr>
    <w:rPr>
      <w:kern w:val="16"/>
      <w:szCs w:val="20"/>
    </w:rPr>
  </w:style>
  <w:style w:type="paragraph" w:customStyle="1" w:styleId="DoubleSigBlock">
    <w:name w:val="Double Sig Block"/>
    <w:basedOn w:val="Normal"/>
    <w:pPr>
      <w:keepNext/>
      <w:tabs>
        <w:tab w:val="right" w:pos="4320"/>
        <w:tab w:val="left" w:pos="5040"/>
        <w:tab w:val="right" w:pos="9360"/>
      </w:tabs>
    </w:pPr>
    <w:rPr>
      <w:kern w:val="16"/>
      <w:szCs w:val="20"/>
    </w:rPr>
  </w:style>
  <w:style w:type="paragraph" w:customStyle="1" w:styleId="DoubleSigLine">
    <w:name w:val="Double Sig Line"/>
    <w:basedOn w:val="Normal"/>
    <w:pPr>
      <w:keepNext/>
      <w:tabs>
        <w:tab w:val="right" w:pos="4320"/>
        <w:tab w:val="left" w:pos="5040"/>
        <w:tab w:val="right" w:pos="9360"/>
      </w:tabs>
      <w:spacing w:before="720"/>
    </w:pPr>
    <w:rPr>
      <w:i/>
      <w:color w:val="0000FF"/>
      <w:kern w:val="16"/>
      <w:szCs w:val="20"/>
      <w:u w:val="single" w:color="000000"/>
    </w:rPr>
  </w:style>
  <w:style w:type="paragraph" w:customStyle="1" w:styleId="OutlineList">
    <w:name w:val="Outline List"/>
    <w:basedOn w:val="Normal"/>
    <w:pPr>
      <w:keepNext/>
      <w:keepLines/>
      <w:numPr>
        <w:numId w:val="7"/>
      </w:numPr>
    </w:pPr>
    <w:rPr>
      <w:bCs/>
      <w:kern w:val="16"/>
      <w:szCs w:val="20"/>
    </w:rPr>
  </w:style>
  <w:style w:type="paragraph" w:customStyle="1" w:styleId="SigBlock">
    <w:name w:val="Sig Block"/>
    <w:basedOn w:val="Normal"/>
    <w:pPr>
      <w:keepNext/>
      <w:tabs>
        <w:tab w:val="left" w:pos="6480"/>
      </w:tabs>
    </w:pPr>
    <w:rPr>
      <w:kern w:val="16"/>
      <w:szCs w:val="20"/>
    </w:rPr>
  </w:style>
  <w:style w:type="paragraph" w:customStyle="1" w:styleId="SigLine">
    <w:name w:val="Sig Line"/>
    <w:basedOn w:val="Normal"/>
    <w:next w:val="SigBlock"/>
    <w:pPr>
      <w:keepNext/>
      <w:tabs>
        <w:tab w:val="right" w:pos="5760"/>
        <w:tab w:val="left" w:pos="6480"/>
        <w:tab w:val="right" w:pos="9360"/>
      </w:tabs>
      <w:spacing w:before="720"/>
    </w:pPr>
    <w:rPr>
      <w:i/>
      <w:color w:val="0000FF"/>
      <w:kern w:val="16"/>
      <w:szCs w:val="20"/>
      <w:u w:val="single" w:color="000000"/>
    </w:rPr>
  </w:style>
  <w:style w:type="paragraph" w:customStyle="1" w:styleId="RomanOutline-LT">
    <w:name w:val="Roman Outline-LT"/>
    <w:basedOn w:val="Normal"/>
    <w:pPr>
      <w:numPr>
        <w:numId w:val="8"/>
      </w:numPr>
    </w:pPr>
    <w:rPr>
      <w:kern w:val="16"/>
    </w:rPr>
  </w:style>
  <w:style w:type="paragraph" w:customStyle="1" w:styleId="RomanOutline--RT">
    <w:name w:val="Roman Outline--RT"/>
    <w:basedOn w:val="Normal"/>
    <w:pPr>
      <w:numPr>
        <w:numId w:val="9"/>
      </w:numPr>
    </w:pPr>
    <w:rPr>
      <w:kern w:val="16"/>
    </w:rPr>
  </w:style>
  <w:style w:type="paragraph" w:customStyle="1" w:styleId="OutlineBullet">
    <w:name w:val="Outline Bullet"/>
    <w:basedOn w:val="Normal"/>
    <w:pPr>
      <w:numPr>
        <w:numId w:val="6"/>
      </w:numPr>
    </w:pPr>
    <w:rPr>
      <w:kern w:val="16"/>
    </w:rPr>
  </w:style>
  <w:style w:type="paragraph" w:styleId="EnvelopeReturn">
    <w:name w:val="envelope return"/>
    <w:basedOn w:val="Normal"/>
    <w:semiHidden/>
    <w:rPr>
      <w:rFonts w:cs="Arial"/>
      <w:caps/>
      <w:kern w:val="16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auto"/>
      <w:u w:val="single"/>
    </w:rPr>
  </w:style>
  <w:style w:type="paragraph" w:styleId="BlockText">
    <w:name w:val="Block Text"/>
    <w:basedOn w:val="Normal"/>
    <w:semiHidden/>
    <w:pPr>
      <w:ind w:left="720" w:right="720"/>
    </w:pPr>
    <w:rPr>
      <w:kern w:val="16"/>
    </w:rPr>
  </w:style>
  <w:style w:type="paragraph" w:styleId="BodyText">
    <w:name w:val="Body Text"/>
    <w:basedOn w:val="Normal"/>
    <w:semiHidden/>
    <w:pPr>
      <w:ind w:firstLine="720"/>
    </w:pPr>
    <w:rPr>
      <w:kern w:val="16"/>
    </w:rPr>
  </w:style>
  <w:style w:type="paragraph" w:styleId="EndnoteText">
    <w:name w:val="endnote text"/>
    <w:basedOn w:val="Normal"/>
    <w:semiHidden/>
    <w:pPr>
      <w:ind w:firstLine="720"/>
    </w:pPr>
    <w:rPr>
      <w:kern w:val="16"/>
      <w:sz w:val="20"/>
      <w:szCs w:val="20"/>
    </w:rPr>
  </w:style>
  <w:style w:type="paragraph" w:styleId="FootnoteText">
    <w:name w:val="footnote text"/>
    <w:basedOn w:val="Normal"/>
    <w:semiHidden/>
    <w:rPr>
      <w:kern w:val="16"/>
      <w:sz w:val="16"/>
      <w:szCs w:val="20"/>
    </w:rPr>
  </w:style>
  <w:style w:type="paragraph" w:styleId="ListBullet">
    <w:name w:val="List Bullet"/>
    <w:basedOn w:val="Normal"/>
    <w:semiHidden/>
    <w:pPr>
      <w:numPr>
        <w:numId w:val="2"/>
      </w:numPr>
    </w:pPr>
    <w:rPr>
      <w:kern w:val="16"/>
    </w:rPr>
  </w:style>
  <w:style w:type="paragraph" w:styleId="Signature">
    <w:name w:val="Signature"/>
    <w:basedOn w:val="Normal"/>
    <w:semiHidden/>
    <w:pPr>
      <w:ind w:left="4680"/>
    </w:pPr>
    <w:rPr>
      <w:kern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Number">
    <w:name w:val="List Number"/>
    <w:basedOn w:val="Normal"/>
    <w:semiHidden/>
    <w:pPr>
      <w:numPr>
        <w:numId w:val="15"/>
      </w:numPr>
    </w:pPr>
    <w:rPr>
      <w:kern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kern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right"/>
    </w:pPr>
  </w:style>
  <w:style w:type="character" w:styleId="PageNumber">
    <w:name w:val="page number"/>
    <w:basedOn w:val="DefaultParagraphFont"/>
    <w:semiHidden/>
    <w:rPr>
      <w:sz w:val="18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ind w:left="1440"/>
    </w:pPr>
  </w:style>
  <w:style w:type="paragraph" w:styleId="Title">
    <w:name w:val="Title"/>
    <w:basedOn w:val="Normal"/>
    <w:qFormat/>
    <w:pPr>
      <w:jc w:val="center"/>
    </w:pPr>
    <w:rPr>
      <w:sz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24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6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6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t.ca.gov/-/media/dot-media/programs/design/documents/chp06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t.ca.gov/-/media/dot-media/programs/design/documents/chp06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8B80-0C8E-4B8C-8922-80A2DF96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documenting life cycle cost analysis for pavements</vt:lpstr>
    </vt:vector>
  </TitlesOfParts>
  <Company>Caltrans</Company>
  <LinksUpToDate>false</LinksUpToDate>
  <CharactersWithSpaces>5045</CharactersWithSpaces>
  <SharedDoc>false</SharedDoc>
  <HLinks>
    <vt:vector size="12" baseType="variant"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http://www.dot.ca.gov/hq/oppd/hdm/pdf/english/chp0610.pdf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http://www.dot.ca.gov/hq/oppd/hdm/pdf/english/chp0610.pdf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documenting life cycle cost analysis for pavements</dc:title>
  <dc:creator>MArrant</dc:creator>
  <cp:lastModifiedBy>Chan, Brendan@DOT</cp:lastModifiedBy>
  <cp:revision>2</cp:revision>
  <cp:lastPrinted>2020-04-21T16:08:00Z</cp:lastPrinted>
  <dcterms:created xsi:type="dcterms:W3CDTF">2020-04-23T18:10:00Z</dcterms:created>
  <dcterms:modified xsi:type="dcterms:W3CDTF">2020-04-23T18:10:00Z</dcterms:modified>
</cp:coreProperties>
</file>