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8227"/>
      </w:tblGrid>
      <w:tr w:rsidR="00DD3094" w14:paraId="2F0B40A2" w14:textId="77777777" w:rsidTr="0062388F">
        <w:trPr>
          <w:cantSplit/>
          <w:trHeight w:hRule="exact" w:val="2550"/>
        </w:trPr>
        <w:tc>
          <w:tcPr>
            <w:tcW w:w="2213" w:type="dxa"/>
            <w:tcBorders>
              <w:top w:val="single" w:sz="12" w:space="0" w:color="auto"/>
              <w:bottom w:val="single" w:sz="12" w:space="0" w:color="auto"/>
            </w:tcBorders>
          </w:tcPr>
          <w:p w14:paraId="62AC8D56" w14:textId="6F210805" w:rsidR="00DD3094" w:rsidRPr="00D61142" w:rsidRDefault="003E45BE" w:rsidP="00515A13">
            <w:pPr>
              <w:autoSpaceDE w:val="0"/>
              <w:autoSpaceDN w:val="0"/>
              <w:adjustRightInd w:val="0"/>
              <w:jc w:val="center"/>
              <w:rPr>
                <w:rFonts w:ascii="DEMAAK+Arial,Bold" w:hAnsi="DEMAAK+Arial,Bold" w:cs="DEMAAK+Arial,Bold"/>
                <w:color w:val="000000"/>
                <w:sz w:val="28"/>
                <w:szCs w:val="28"/>
              </w:rPr>
            </w:pPr>
            <w:r>
              <w:rPr>
                <w:rFonts w:ascii="DEMAAK+Arial,Bold" w:hAnsi="DEMAAK+Arial,Bold" w:cs="DEMAAK+Arial,Bold"/>
                <w:noProof/>
                <w:color w:val="000000"/>
                <w:sz w:val="28"/>
                <w:szCs w:val="28"/>
              </w:rPr>
              <w:drawing>
                <wp:inline distT="0" distB="0" distL="0" distR="0" wp14:anchorId="770342AF" wp14:editId="376EC671">
                  <wp:extent cx="1097280" cy="1615440"/>
                  <wp:effectExtent l="0" t="0" r="7620" b="3810"/>
                  <wp:docPr id="2" name="Picture 2" descr="Caltrans and Division of Research Innovation and System Information, also known as DRISI,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altrans and Division of Research Innovation and System Information, also known as DRISI,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3E6"/>
          </w:tcPr>
          <w:p w14:paraId="10B711A8" w14:textId="77777777" w:rsidR="00DD3094" w:rsidRPr="00B65C8B" w:rsidRDefault="00DD3094" w:rsidP="00515A13">
            <w:pPr>
              <w:jc w:val="center"/>
              <w:rPr>
                <w:rFonts w:ascii="DEMABM+TimesNewRoman,BoldItalic" w:hAnsi="DEMABM+TimesNewRoman,BoldItalic" w:cs="DEMABM+TimesNewRoman,BoldItalic"/>
                <w:b/>
                <w:bCs/>
                <w:color w:val="FFFFFF"/>
                <w:sz w:val="18"/>
                <w:szCs w:val="18"/>
              </w:rPr>
            </w:pPr>
          </w:p>
          <w:p w14:paraId="7EFB767C" w14:textId="77777777" w:rsidR="00CA4048" w:rsidRDefault="00CA4048" w:rsidP="00515A13">
            <w:pPr>
              <w:jc w:val="center"/>
              <w:rPr>
                <w:rFonts w:ascii="Helvetica" w:hAnsi="Helvetica" w:cs="Arial"/>
                <w:b/>
                <w:bCs/>
                <w:i/>
                <w:color w:val="FFFFFF"/>
                <w:sz w:val="28"/>
                <w:szCs w:val="28"/>
              </w:rPr>
            </w:pPr>
            <w:r w:rsidRPr="00CA4048">
              <w:rPr>
                <w:rFonts w:ascii="Helvetica" w:hAnsi="Helvetica" w:cs="Arial"/>
                <w:b/>
                <w:bCs/>
                <w:i/>
                <w:color w:val="FFFFFF"/>
                <w:sz w:val="28"/>
                <w:szCs w:val="28"/>
              </w:rPr>
              <w:t>Pacific Southwest Region 9 University Transportation Center</w:t>
            </w:r>
          </w:p>
          <w:p w14:paraId="2702BCA1" w14:textId="2D53B2B4" w:rsidR="00DD3094" w:rsidRPr="007B772A" w:rsidRDefault="00DD3094" w:rsidP="00515A13">
            <w:pPr>
              <w:jc w:val="center"/>
              <w:rPr>
                <w:rFonts w:ascii="Helvetica" w:hAnsi="Helvetica" w:cs="Arial"/>
                <w:b/>
                <w:bCs/>
                <w:i/>
                <w:color w:val="FFFFFF"/>
                <w:sz w:val="28"/>
                <w:szCs w:val="28"/>
              </w:rPr>
            </w:pPr>
            <w:r>
              <w:rPr>
                <w:rFonts w:ascii="Helvetica" w:hAnsi="Helvetica" w:cs="Arial"/>
                <w:b/>
                <w:bCs/>
                <w:i/>
                <w:color w:val="FFFFFF"/>
                <w:sz w:val="28"/>
                <w:szCs w:val="28"/>
              </w:rPr>
              <w:t>Fact Sheet</w:t>
            </w:r>
          </w:p>
        </w:tc>
      </w:tr>
    </w:tbl>
    <w:p w14:paraId="5DBB6004" w14:textId="77777777" w:rsidR="00707C19" w:rsidRDefault="00707C19" w:rsidP="00375492">
      <w:pPr>
        <w:pStyle w:val="NoSpacing"/>
        <w:rPr>
          <w:sz w:val="24"/>
          <w:szCs w:val="24"/>
          <w:u w:val="single"/>
        </w:rPr>
      </w:pPr>
    </w:p>
    <w:p w14:paraId="2B157BE4" w14:textId="572D91AC" w:rsidR="00C30BFF" w:rsidRDefault="00C30BFF" w:rsidP="00C30B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Pacific Southwest Region University Transportation Center (</w:t>
      </w:r>
      <w:r w:rsidR="00C40438">
        <w:rPr>
          <w:sz w:val="23"/>
          <w:szCs w:val="23"/>
        </w:rPr>
        <w:t xml:space="preserve">PSR </w:t>
      </w:r>
      <w:r>
        <w:rPr>
          <w:sz w:val="23"/>
          <w:szCs w:val="23"/>
        </w:rPr>
        <w:t xml:space="preserve">UTC) was selected as the United States Department of Transportation (US DOT) Region 9 UTC under the </w:t>
      </w:r>
      <w:r w:rsidR="008F79AF" w:rsidRPr="00E607E1">
        <w:t>Infrastructure Investment and Jobs Act</w:t>
      </w:r>
      <w:r w:rsidR="008F79AF">
        <w:t>.</w:t>
      </w:r>
      <w:r w:rsidR="008F79AF" w:rsidRPr="00E607E1">
        <w:t xml:space="preserve"> (IIJA)</w:t>
      </w:r>
      <w:r>
        <w:rPr>
          <w:sz w:val="23"/>
          <w:szCs w:val="23"/>
        </w:rPr>
        <w:t xml:space="preserve">. This center </w:t>
      </w:r>
      <w:r w:rsidR="00C40438">
        <w:rPr>
          <w:sz w:val="23"/>
          <w:szCs w:val="23"/>
        </w:rPr>
        <w:t xml:space="preserve">is </w:t>
      </w:r>
      <w:r>
        <w:rPr>
          <w:sz w:val="23"/>
          <w:szCs w:val="23"/>
        </w:rPr>
        <w:t>housed in the Sol Price School of Public Policy at the University of Southern California</w:t>
      </w:r>
      <w:r w:rsidR="008F79AF">
        <w:rPr>
          <w:sz w:val="23"/>
          <w:szCs w:val="23"/>
        </w:rPr>
        <w:t>.</w:t>
      </w:r>
    </w:p>
    <w:p w14:paraId="34AC02DD" w14:textId="77777777" w:rsidR="00C30BFF" w:rsidRDefault="00C30BFF" w:rsidP="00C30BFF">
      <w:pPr>
        <w:pStyle w:val="Default"/>
        <w:rPr>
          <w:sz w:val="23"/>
          <w:szCs w:val="23"/>
        </w:rPr>
      </w:pPr>
    </w:p>
    <w:p w14:paraId="17FA886D" w14:textId="70A54D38" w:rsidR="007B3B3A" w:rsidRDefault="00C30BFF" w:rsidP="00C30BFF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Established in 2016, the P</w:t>
      </w:r>
      <w:r w:rsidR="00C40438">
        <w:rPr>
          <w:sz w:val="23"/>
          <w:szCs w:val="23"/>
        </w:rPr>
        <w:t>SR</w:t>
      </w:r>
      <w:r>
        <w:rPr>
          <w:sz w:val="23"/>
          <w:szCs w:val="23"/>
        </w:rPr>
        <w:t xml:space="preserve"> UTC is led by the University of Southern California and includes </w:t>
      </w:r>
      <w:r w:rsidR="001A450B">
        <w:rPr>
          <w:sz w:val="23"/>
          <w:szCs w:val="23"/>
        </w:rPr>
        <w:t>nine</w:t>
      </w:r>
      <w:r>
        <w:rPr>
          <w:sz w:val="23"/>
          <w:szCs w:val="23"/>
        </w:rPr>
        <w:t xml:space="preserve"> partners: California State University, Long Beach, </w:t>
      </w:r>
      <w:r w:rsidR="001A450B" w:rsidRPr="001A450B">
        <w:rPr>
          <w:sz w:val="23"/>
          <w:szCs w:val="23"/>
        </w:rPr>
        <w:t>University of California Berkeley</w:t>
      </w:r>
      <w:r w:rsidR="001A450B">
        <w:rPr>
          <w:sz w:val="23"/>
          <w:szCs w:val="23"/>
        </w:rPr>
        <w:t xml:space="preserve">, </w:t>
      </w:r>
      <w:r>
        <w:rPr>
          <w:sz w:val="23"/>
          <w:szCs w:val="23"/>
        </w:rPr>
        <w:t>University of California, Davis, University of California, Irvine, University of California, Los Angeles, University of Hawaii</w:t>
      </w:r>
      <w:r w:rsidR="008F79AF">
        <w:rPr>
          <w:sz w:val="23"/>
          <w:szCs w:val="23"/>
        </w:rPr>
        <w:t xml:space="preserve"> Manoa</w:t>
      </w:r>
      <w:r>
        <w:rPr>
          <w:sz w:val="23"/>
          <w:szCs w:val="23"/>
        </w:rPr>
        <w:t>, Northern Arizona University, Pima Community College</w:t>
      </w:r>
      <w:r w:rsidR="008F79AF">
        <w:rPr>
          <w:sz w:val="23"/>
          <w:szCs w:val="23"/>
        </w:rPr>
        <w:t>,</w:t>
      </w:r>
      <w:r w:rsidR="008F79AF" w:rsidRPr="008F79AF">
        <w:t xml:space="preserve"> </w:t>
      </w:r>
      <w:r w:rsidR="008F79AF" w:rsidRPr="008F79AF">
        <w:rPr>
          <w:sz w:val="23"/>
          <w:szCs w:val="23"/>
        </w:rPr>
        <w:t>University of Nevada Las Vegas</w:t>
      </w:r>
      <w:r>
        <w:rPr>
          <w:sz w:val="23"/>
          <w:szCs w:val="23"/>
        </w:rPr>
        <w:t xml:space="preserve">. The Pacific Southwest Region UTC will </w:t>
      </w:r>
      <w:r w:rsidR="00CA4048" w:rsidRPr="00CA4048">
        <w:rPr>
          <w:sz w:val="23"/>
          <w:szCs w:val="23"/>
        </w:rPr>
        <w:t>serve Region 9 with a comprehensive, integrated program of research, education and technology transfer built upon the priority needs of the region: 1) closing access gaps, 2) increasing sustainability and resilience of the goods movement system, and 3) expanding workforce opportunities.</w:t>
      </w:r>
    </w:p>
    <w:p w14:paraId="0314DB6D" w14:textId="5232A1D1" w:rsidR="00C30BFF" w:rsidRDefault="00C30BFF" w:rsidP="00C30BFF">
      <w:pPr>
        <w:pStyle w:val="NoSpacing"/>
        <w:rPr>
          <w:sz w:val="23"/>
          <w:szCs w:val="23"/>
        </w:rPr>
      </w:pPr>
    </w:p>
    <w:p w14:paraId="208DD484" w14:textId="0FFD5DBF" w:rsidR="00CA4048" w:rsidRPr="00CA4048" w:rsidRDefault="00C30BFF" w:rsidP="00CA4048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The P</w:t>
      </w:r>
      <w:r w:rsidR="00C40438">
        <w:rPr>
          <w:sz w:val="23"/>
          <w:szCs w:val="23"/>
        </w:rPr>
        <w:t xml:space="preserve">SR </w:t>
      </w:r>
      <w:r>
        <w:rPr>
          <w:sz w:val="23"/>
          <w:szCs w:val="23"/>
        </w:rPr>
        <w:t>UTC was awarded a five-year grant totaling approximately $</w:t>
      </w:r>
      <w:r w:rsidR="001A450B">
        <w:rPr>
          <w:sz w:val="23"/>
          <w:szCs w:val="23"/>
        </w:rPr>
        <w:t xml:space="preserve">15 </w:t>
      </w:r>
      <w:r>
        <w:rPr>
          <w:sz w:val="23"/>
          <w:szCs w:val="23"/>
        </w:rPr>
        <w:t xml:space="preserve">million from the US DOT, authorized under the </w:t>
      </w:r>
      <w:r w:rsidR="001A450B">
        <w:rPr>
          <w:sz w:val="23"/>
          <w:szCs w:val="23"/>
        </w:rPr>
        <w:t>IIJA</w:t>
      </w:r>
      <w:r>
        <w:rPr>
          <w:sz w:val="23"/>
          <w:szCs w:val="23"/>
        </w:rPr>
        <w:t xml:space="preserve"> Act.</w:t>
      </w:r>
      <w:r w:rsidR="00CA4048" w:rsidRPr="00CA4048">
        <w:t xml:space="preserve"> </w:t>
      </w:r>
      <w:r w:rsidR="00CA4048">
        <w:t xml:space="preserve">The </w:t>
      </w:r>
      <w:r w:rsidR="00CA4048" w:rsidRPr="00CA4048">
        <w:rPr>
          <w:sz w:val="23"/>
          <w:szCs w:val="23"/>
        </w:rPr>
        <w:t xml:space="preserve">five characteristics of </w:t>
      </w:r>
      <w:proofErr w:type="gramStart"/>
      <w:r w:rsidR="00CA4048" w:rsidRPr="00CA4048">
        <w:rPr>
          <w:sz w:val="23"/>
          <w:szCs w:val="23"/>
        </w:rPr>
        <w:t>Region</w:t>
      </w:r>
      <w:proofErr w:type="gramEnd"/>
      <w:r w:rsidR="00CA4048" w:rsidRPr="00CA4048">
        <w:rPr>
          <w:sz w:val="23"/>
          <w:szCs w:val="23"/>
        </w:rPr>
        <w:t xml:space="preserve"> 9 that frame</w:t>
      </w:r>
      <w:r w:rsidR="00CA4048">
        <w:rPr>
          <w:sz w:val="23"/>
          <w:szCs w:val="23"/>
        </w:rPr>
        <w:t xml:space="preserve"> the</w:t>
      </w:r>
      <w:r w:rsidR="00CA4048" w:rsidRPr="00CA4048">
        <w:rPr>
          <w:sz w:val="23"/>
          <w:szCs w:val="23"/>
        </w:rPr>
        <w:t xml:space="preserve"> research program and inform </w:t>
      </w:r>
      <w:r w:rsidR="00CA4048">
        <w:rPr>
          <w:sz w:val="23"/>
          <w:szCs w:val="23"/>
        </w:rPr>
        <w:t>the</w:t>
      </w:r>
      <w:r w:rsidR="00CA4048" w:rsidRPr="00CA4048">
        <w:rPr>
          <w:sz w:val="23"/>
          <w:szCs w:val="23"/>
        </w:rPr>
        <w:t xml:space="preserve"> research themes.</w:t>
      </w:r>
    </w:p>
    <w:p w14:paraId="7C1EA1D1" w14:textId="77777777" w:rsidR="00CA4048" w:rsidRPr="00CA4048" w:rsidRDefault="00CA4048" w:rsidP="00CA4048">
      <w:pPr>
        <w:pStyle w:val="NoSpacing"/>
        <w:numPr>
          <w:ilvl w:val="0"/>
          <w:numId w:val="7"/>
        </w:numPr>
        <w:rPr>
          <w:sz w:val="23"/>
          <w:szCs w:val="23"/>
        </w:rPr>
      </w:pPr>
      <w:r w:rsidRPr="00CA4048">
        <w:rPr>
          <w:sz w:val="23"/>
          <w:szCs w:val="23"/>
        </w:rPr>
        <w:t>Uneven transportation access across our enormously divers region, particularly among transportation-disadvantaged travelers and communities</w:t>
      </w:r>
    </w:p>
    <w:p w14:paraId="3E32D546" w14:textId="77777777" w:rsidR="00CA4048" w:rsidRPr="00CA4048" w:rsidRDefault="00CA4048" w:rsidP="00CA4048">
      <w:pPr>
        <w:pStyle w:val="NoSpacing"/>
        <w:numPr>
          <w:ilvl w:val="0"/>
          <w:numId w:val="7"/>
        </w:numPr>
        <w:rPr>
          <w:sz w:val="23"/>
          <w:szCs w:val="23"/>
        </w:rPr>
      </w:pPr>
      <w:r w:rsidRPr="00CA4048">
        <w:rPr>
          <w:sz w:val="23"/>
          <w:szCs w:val="23"/>
        </w:rPr>
        <w:t>Our region’s central role in global supply chains, and the growing risk of disruption to the supply chains</w:t>
      </w:r>
    </w:p>
    <w:p w14:paraId="3F2CAC21" w14:textId="77777777" w:rsidR="00CA4048" w:rsidRPr="00CA4048" w:rsidRDefault="00CA4048" w:rsidP="00CA4048">
      <w:pPr>
        <w:pStyle w:val="NoSpacing"/>
        <w:numPr>
          <w:ilvl w:val="0"/>
          <w:numId w:val="7"/>
        </w:numPr>
        <w:rPr>
          <w:sz w:val="23"/>
          <w:szCs w:val="23"/>
        </w:rPr>
      </w:pPr>
      <w:r w:rsidRPr="00CA4048">
        <w:rPr>
          <w:sz w:val="23"/>
          <w:szCs w:val="23"/>
        </w:rPr>
        <w:t xml:space="preserve">Transportation’s central role in sustainability: reducing criteria emissions, meeting ambitious climate goals, and our region’s particular vulnerabilities to climate risks such as wildfires, sea level rise, drought, and extreme </w:t>
      </w:r>
      <w:proofErr w:type="gramStart"/>
      <w:r w:rsidRPr="00CA4048">
        <w:rPr>
          <w:sz w:val="23"/>
          <w:szCs w:val="23"/>
        </w:rPr>
        <w:t>weather</w:t>
      </w:r>
      <w:proofErr w:type="gramEnd"/>
    </w:p>
    <w:p w14:paraId="2FD455B1" w14:textId="77777777" w:rsidR="00CA4048" w:rsidRPr="00CA4048" w:rsidRDefault="00CA4048" w:rsidP="00CA4048">
      <w:pPr>
        <w:pStyle w:val="NoSpacing"/>
        <w:numPr>
          <w:ilvl w:val="0"/>
          <w:numId w:val="7"/>
        </w:numPr>
        <w:rPr>
          <w:sz w:val="23"/>
          <w:szCs w:val="23"/>
        </w:rPr>
      </w:pPr>
      <w:r w:rsidRPr="00CA4048">
        <w:rPr>
          <w:sz w:val="23"/>
          <w:szCs w:val="23"/>
        </w:rPr>
        <w:t xml:space="preserve">Our region’s role as the global center of the information and communications technology (ICT) revolution, which is transforming </w:t>
      </w:r>
      <w:proofErr w:type="gramStart"/>
      <w:r w:rsidRPr="00CA4048">
        <w:rPr>
          <w:sz w:val="23"/>
          <w:szCs w:val="23"/>
        </w:rPr>
        <w:t>transportation</w:t>
      </w:r>
      <w:proofErr w:type="gramEnd"/>
    </w:p>
    <w:p w14:paraId="7FE829C2" w14:textId="77777777" w:rsidR="00CA4048" w:rsidRDefault="00CA4048" w:rsidP="00CA4048">
      <w:pPr>
        <w:pStyle w:val="NoSpacing"/>
        <w:numPr>
          <w:ilvl w:val="0"/>
          <w:numId w:val="7"/>
        </w:numPr>
        <w:rPr>
          <w:sz w:val="23"/>
          <w:szCs w:val="23"/>
        </w:rPr>
      </w:pPr>
      <w:r w:rsidRPr="00CA4048">
        <w:rPr>
          <w:sz w:val="23"/>
          <w:szCs w:val="23"/>
        </w:rPr>
        <w:t xml:space="preserve">The changing nature of transportation work, potentially placing hundreds of thousands of jobs at risk but creating new jobs as </w:t>
      </w:r>
      <w:proofErr w:type="gramStart"/>
      <w:r w:rsidRPr="00CA4048">
        <w:rPr>
          <w:sz w:val="23"/>
          <w:szCs w:val="23"/>
        </w:rPr>
        <w:t>well</w:t>
      </w:r>
      <w:proofErr w:type="gramEnd"/>
    </w:p>
    <w:p w14:paraId="4511CE0C" w14:textId="77777777" w:rsidR="00CA4048" w:rsidRPr="00CA4048" w:rsidRDefault="00CA4048" w:rsidP="00CA4048">
      <w:pPr>
        <w:pStyle w:val="NoSpacing"/>
        <w:ind w:left="720"/>
        <w:rPr>
          <w:sz w:val="23"/>
          <w:szCs w:val="23"/>
        </w:rPr>
      </w:pPr>
    </w:p>
    <w:p w14:paraId="5117C7DD" w14:textId="0896FC1A" w:rsidR="00C30BFF" w:rsidRDefault="00CA4048" w:rsidP="00CA4048">
      <w:pPr>
        <w:pStyle w:val="NoSpacing"/>
        <w:rPr>
          <w:sz w:val="23"/>
          <w:szCs w:val="23"/>
        </w:rPr>
      </w:pPr>
      <w:r w:rsidRPr="00CA4048">
        <w:rPr>
          <w:sz w:val="23"/>
          <w:szCs w:val="23"/>
        </w:rPr>
        <w:t>The PSR UTC is structured to have a truly regional focus and is intended to build a strong university-government-industry partnership. Our consortium of universities and community colleges, together with partnerships with state Departments of Transportation (DOTs) and Metropolitan Planning Organizations (MPOs), forms a region-wide network to guide the development and implementation of the center’s research, education, and technology transfer programs.</w:t>
      </w:r>
      <w:r w:rsidR="00C30BFF">
        <w:rPr>
          <w:sz w:val="23"/>
          <w:szCs w:val="23"/>
        </w:rPr>
        <w:t xml:space="preserve"> </w:t>
      </w:r>
    </w:p>
    <w:p w14:paraId="20DAACCE" w14:textId="77777777" w:rsidR="00C30BFF" w:rsidRDefault="00C30BFF" w:rsidP="00C30BFF">
      <w:pPr>
        <w:pStyle w:val="NoSpacing"/>
        <w:rPr>
          <w:sz w:val="24"/>
          <w:szCs w:val="24"/>
          <w:u w:val="single"/>
        </w:rPr>
      </w:pPr>
    </w:p>
    <w:p w14:paraId="275497DB" w14:textId="571A7527" w:rsidR="00C40438" w:rsidRPr="000F1F4F" w:rsidRDefault="00C40438" w:rsidP="00C40438">
      <w:pPr>
        <w:pStyle w:val="NoSpacing"/>
        <w:rPr>
          <w:sz w:val="24"/>
          <w:szCs w:val="24"/>
        </w:rPr>
      </w:pPr>
      <w:bookmarkStart w:id="0" w:name="_Hlk186113968"/>
      <w:r>
        <w:rPr>
          <w:sz w:val="24"/>
          <w:szCs w:val="24"/>
          <w:u w:val="single"/>
        </w:rPr>
        <w:t xml:space="preserve">Current </w:t>
      </w:r>
      <w:r w:rsidRPr="00BF079A">
        <w:rPr>
          <w:sz w:val="24"/>
          <w:szCs w:val="24"/>
          <w:u w:val="single"/>
        </w:rPr>
        <w:t>Five-Year</w:t>
      </w:r>
      <w:r w:rsidR="00DA7091" w:rsidRPr="00BF079A">
        <w:rPr>
          <w:sz w:val="24"/>
          <w:szCs w:val="24"/>
          <w:u w:val="single"/>
        </w:rPr>
        <w:t xml:space="preserve"> </w:t>
      </w:r>
      <w:r w:rsidR="00BF2CD1" w:rsidRPr="00BF079A">
        <w:rPr>
          <w:sz w:val="24"/>
          <w:szCs w:val="24"/>
          <w:u w:val="single"/>
        </w:rPr>
        <w:t>Contract Term</w:t>
      </w:r>
      <w:r w:rsidR="00BF2CD1" w:rsidRPr="00BF079A">
        <w:rPr>
          <w:sz w:val="24"/>
          <w:szCs w:val="24"/>
        </w:rPr>
        <w:t>:</w:t>
      </w:r>
      <w:r w:rsidR="00D02876" w:rsidRPr="00BF079A">
        <w:rPr>
          <w:sz w:val="24"/>
          <w:szCs w:val="24"/>
        </w:rPr>
        <w:t xml:space="preserve">  </w:t>
      </w:r>
      <w:r w:rsidR="008A06CB">
        <w:rPr>
          <w:sz w:val="24"/>
          <w:szCs w:val="24"/>
        </w:rPr>
        <w:t>~</w:t>
      </w:r>
      <w:r w:rsidR="00332FEE">
        <w:rPr>
          <w:sz w:val="24"/>
          <w:szCs w:val="24"/>
        </w:rPr>
        <w:t xml:space="preserve"> April</w:t>
      </w:r>
      <w:r w:rsidR="008A06CB">
        <w:rPr>
          <w:sz w:val="24"/>
          <w:szCs w:val="24"/>
        </w:rPr>
        <w:t xml:space="preserve"> 1, 20</w:t>
      </w:r>
      <w:r w:rsidR="00332FEE">
        <w:rPr>
          <w:sz w:val="24"/>
          <w:szCs w:val="24"/>
        </w:rPr>
        <w:t>24</w:t>
      </w:r>
      <w:r w:rsidR="008A06CB" w:rsidRPr="00375492">
        <w:rPr>
          <w:sz w:val="24"/>
          <w:szCs w:val="24"/>
        </w:rPr>
        <w:t xml:space="preserve"> </w:t>
      </w:r>
      <w:r w:rsidR="008A06CB">
        <w:rPr>
          <w:sz w:val="24"/>
          <w:szCs w:val="24"/>
        </w:rPr>
        <w:t>–</w:t>
      </w:r>
      <w:r w:rsidR="008A06CB" w:rsidRPr="00375492">
        <w:rPr>
          <w:sz w:val="24"/>
          <w:szCs w:val="24"/>
        </w:rPr>
        <w:t xml:space="preserve"> </w:t>
      </w:r>
      <w:r w:rsidR="00C30BFF">
        <w:rPr>
          <w:sz w:val="24"/>
          <w:szCs w:val="24"/>
        </w:rPr>
        <w:t>J</w:t>
      </w:r>
      <w:r w:rsidR="00332FEE">
        <w:rPr>
          <w:sz w:val="24"/>
          <w:szCs w:val="24"/>
        </w:rPr>
        <w:t>une</w:t>
      </w:r>
      <w:r w:rsidR="008A06CB">
        <w:rPr>
          <w:sz w:val="24"/>
          <w:szCs w:val="24"/>
        </w:rPr>
        <w:t xml:space="preserve"> 3</w:t>
      </w:r>
      <w:r w:rsidR="00332FEE">
        <w:rPr>
          <w:sz w:val="24"/>
          <w:szCs w:val="24"/>
        </w:rPr>
        <w:t>0</w:t>
      </w:r>
      <w:r w:rsidR="00C30BFF">
        <w:rPr>
          <w:sz w:val="24"/>
          <w:szCs w:val="24"/>
        </w:rPr>
        <w:t xml:space="preserve">, </w:t>
      </w:r>
      <w:r w:rsidR="008A06CB" w:rsidRPr="00375492">
        <w:rPr>
          <w:sz w:val="24"/>
          <w:szCs w:val="24"/>
        </w:rPr>
        <w:t>20</w:t>
      </w:r>
      <w:r w:rsidR="008A06CB">
        <w:rPr>
          <w:sz w:val="24"/>
          <w:szCs w:val="24"/>
        </w:rPr>
        <w:t>2</w:t>
      </w:r>
      <w:r w:rsidR="00332FEE">
        <w:rPr>
          <w:sz w:val="24"/>
          <w:szCs w:val="24"/>
        </w:rPr>
        <w:t>9</w:t>
      </w:r>
      <w:bookmarkEnd w:id="0"/>
    </w:p>
    <w:sectPr w:rsidR="00C40438" w:rsidRPr="000F1F4F" w:rsidSect="00DD309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C376" w14:textId="77777777" w:rsidR="00CE2A6E" w:rsidRDefault="00CE2A6E" w:rsidP="0061455E">
      <w:pPr>
        <w:spacing w:after="0" w:line="240" w:lineRule="auto"/>
      </w:pPr>
      <w:r>
        <w:separator/>
      </w:r>
    </w:p>
  </w:endnote>
  <w:endnote w:type="continuationSeparator" w:id="0">
    <w:p w14:paraId="435065E3" w14:textId="77777777" w:rsidR="00CE2A6E" w:rsidRDefault="00CE2A6E" w:rsidP="0061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MAA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MABM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5F40" w14:textId="77777777" w:rsidR="00CE2A6E" w:rsidRDefault="00CE2A6E" w:rsidP="0061455E">
      <w:pPr>
        <w:spacing w:after="0" w:line="240" w:lineRule="auto"/>
      </w:pPr>
      <w:r>
        <w:separator/>
      </w:r>
    </w:p>
  </w:footnote>
  <w:footnote w:type="continuationSeparator" w:id="0">
    <w:p w14:paraId="35002223" w14:textId="77777777" w:rsidR="00CE2A6E" w:rsidRDefault="00CE2A6E" w:rsidP="00614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7C2"/>
    <w:multiLevelType w:val="hybridMultilevel"/>
    <w:tmpl w:val="AEC09CA8"/>
    <w:lvl w:ilvl="0" w:tplc="03B0B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DEC"/>
    <w:multiLevelType w:val="hybridMultilevel"/>
    <w:tmpl w:val="8F4A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C5187"/>
    <w:multiLevelType w:val="hybridMultilevel"/>
    <w:tmpl w:val="03C2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D38C6"/>
    <w:multiLevelType w:val="hybridMultilevel"/>
    <w:tmpl w:val="A732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E6524"/>
    <w:multiLevelType w:val="hybridMultilevel"/>
    <w:tmpl w:val="AD86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931EC"/>
    <w:multiLevelType w:val="hybridMultilevel"/>
    <w:tmpl w:val="E21C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84CC8"/>
    <w:multiLevelType w:val="multilevel"/>
    <w:tmpl w:val="ACC8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7910009">
    <w:abstractNumId w:val="4"/>
  </w:num>
  <w:num w:numId="2" w16cid:durableId="697396080">
    <w:abstractNumId w:val="1"/>
  </w:num>
  <w:num w:numId="3" w16cid:durableId="1954747055">
    <w:abstractNumId w:val="3"/>
  </w:num>
  <w:num w:numId="4" w16cid:durableId="1612741830">
    <w:abstractNumId w:val="2"/>
  </w:num>
  <w:num w:numId="5" w16cid:durableId="361170317">
    <w:abstractNumId w:val="6"/>
  </w:num>
  <w:num w:numId="6" w16cid:durableId="683941748">
    <w:abstractNumId w:val="0"/>
  </w:num>
  <w:num w:numId="7" w16cid:durableId="1917591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D1"/>
    <w:rsid w:val="00015C98"/>
    <w:rsid w:val="000224B9"/>
    <w:rsid w:val="00025FDB"/>
    <w:rsid w:val="00055CDA"/>
    <w:rsid w:val="000F1F4F"/>
    <w:rsid w:val="0010098A"/>
    <w:rsid w:val="00134D49"/>
    <w:rsid w:val="00164038"/>
    <w:rsid w:val="00194060"/>
    <w:rsid w:val="0019784F"/>
    <w:rsid w:val="001A450B"/>
    <w:rsid w:val="001F1D28"/>
    <w:rsid w:val="002073F5"/>
    <w:rsid w:val="00253F64"/>
    <w:rsid w:val="00274A73"/>
    <w:rsid w:val="002A22A5"/>
    <w:rsid w:val="002B2F13"/>
    <w:rsid w:val="002B58DC"/>
    <w:rsid w:val="00332FEE"/>
    <w:rsid w:val="00345D8F"/>
    <w:rsid w:val="003559B4"/>
    <w:rsid w:val="00375492"/>
    <w:rsid w:val="0038531F"/>
    <w:rsid w:val="003A3874"/>
    <w:rsid w:val="003B2F24"/>
    <w:rsid w:val="003D0971"/>
    <w:rsid w:val="003E0C80"/>
    <w:rsid w:val="003E45BE"/>
    <w:rsid w:val="004801FE"/>
    <w:rsid w:val="00510229"/>
    <w:rsid w:val="005B11F4"/>
    <w:rsid w:val="005C1FD4"/>
    <w:rsid w:val="0061455E"/>
    <w:rsid w:val="00622258"/>
    <w:rsid w:val="0062388F"/>
    <w:rsid w:val="00677BEB"/>
    <w:rsid w:val="006917D6"/>
    <w:rsid w:val="00693841"/>
    <w:rsid w:val="006A34D2"/>
    <w:rsid w:val="006B0567"/>
    <w:rsid w:val="006C02BC"/>
    <w:rsid w:val="006E75BE"/>
    <w:rsid w:val="00707C19"/>
    <w:rsid w:val="0072287F"/>
    <w:rsid w:val="007A2ACA"/>
    <w:rsid w:val="007B2508"/>
    <w:rsid w:val="007B3B3A"/>
    <w:rsid w:val="0080407F"/>
    <w:rsid w:val="008219D7"/>
    <w:rsid w:val="00824CAA"/>
    <w:rsid w:val="0082779A"/>
    <w:rsid w:val="00862626"/>
    <w:rsid w:val="00883504"/>
    <w:rsid w:val="008916B9"/>
    <w:rsid w:val="00894DB3"/>
    <w:rsid w:val="008A06CB"/>
    <w:rsid w:val="008D0E0A"/>
    <w:rsid w:val="008F79AF"/>
    <w:rsid w:val="009161C2"/>
    <w:rsid w:val="0098029C"/>
    <w:rsid w:val="009E4DFD"/>
    <w:rsid w:val="009F4A86"/>
    <w:rsid w:val="00A12302"/>
    <w:rsid w:val="00A53B3C"/>
    <w:rsid w:val="00A54141"/>
    <w:rsid w:val="00A72AF0"/>
    <w:rsid w:val="00AB205A"/>
    <w:rsid w:val="00AE7C40"/>
    <w:rsid w:val="00B15445"/>
    <w:rsid w:val="00B23DD4"/>
    <w:rsid w:val="00BA514C"/>
    <w:rsid w:val="00BE5A3A"/>
    <w:rsid w:val="00BF079A"/>
    <w:rsid w:val="00BF2CD1"/>
    <w:rsid w:val="00C0292A"/>
    <w:rsid w:val="00C13382"/>
    <w:rsid w:val="00C210CF"/>
    <w:rsid w:val="00C300A8"/>
    <w:rsid w:val="00C30BFF"/>
    <w:rsid w:val="00C34A0C"/>
    <w:rsid w:val="00C40438"/>
    <w:rsid w:val="00C62E92"/>
    <w:rsid w:val="00CA15DE"/>
    <w:rsid w:val="00CA4048"/>
    <w:rsid w:val="00CA5E73"/>
    <w:rsid w:val="00CE2A6E"/>
    <w:rsid w:val="00CF0D4B"/>
    <w:rsid w:val="00CF4595"/>
    <w:rsid w:val="00D02876"/>
    <w:rsid w:val="00D13EF7"/>
    <w:rsid w:val="00D20DAF"/>
    <w:rsid w:val="00D313C4"/>
    <w:rsid w:val="00D45728"/>
    <w:rsid w:val="00D70AC1"/>
    <w:rsid w:val="00D8354D"/>
    <w:rsid w:val="00D839C1"/>
    <w:rsid w:val="00DA50B8"/>
    <w:rsid w:val="00DA7091"/>
    <w:rsid w:val="00DB79A9"/>
    <w:rsid w:val="00DD3094"/>
    <w:rsid w:val="00DE132D"/>
    <w:rsid w:val="00DF2C3F"/>
    <w:rsid w:val="00DF4209"/>
    <w:rsid w:val="00E06A22"/>
    <w:rsid w:val="00E27728"/>
    <w:rsid w:val="00E42C1C"/>
    <w:rsid w:val="00E4700F"/>
    <w:rsid w:val="00F3098D"/>
    <w:rsid w:val="00F3307C"/>
    <w:rsid w:val="00F55412"/>
    <w:rsid w:val="00F77CA8"/>
    <w:rsid w:val="00F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28331"/>
  <w15:docId w15:val="{2D5A71FB-F9FF-4310-B093-9647E3B8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CD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55E"/>
  </w:style>
  <w:style w:type="paragraph" w:styleId="Footer">
    <w:name w:val="footer"/>
    <w:basedOn w:val="Normal"/>
    <w:link w:val="FooterChar"/>
    <w:uiPriority w:val="99"/>
    <w:unhideWhenUsed/>
    <w:rsid w:val="0061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55E"/>
  </w:style>
  <w:style w:type="paragraph" w:styleId="BalloonText">
    <w:name w:val="Balloon Text"/>
    <w:basedOn w:val="Normal"/>
    <w:link w:val="BalloonTextChar"/>
    <w:uiPriority w:val="99"/>
    <w:semiHidden/>
    <w:unhideWhenUsed/>
    <w:rsid w:val="00D7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F1F4F"/>
    <w:rPr>
      <w:strike w:val="0"/>
      <w:dstrike w:val="0"/>
      <w:color w:val="007ACC"/>
      <w:u w:val="none"/>
      <w:effect w:val="none"/>
      <w:shd w:val="clear" w:color="auto" w:fill="auto"/>
    </w:rPr>
  </w:style>
  <w:style w:type="paragraph" w:styleId="BodyText">
    <w:name w:val="Body Text"/>
    <w:basedOn w:val="Normal"/>
    <w:link w:val="BodyTextChar"/>
    <w:uiPriority w:val="1"/>
    <w:qFormat/>
    <w:rsid w:val="00BF079A"/>
    <w:pPr>
      <w:autoSpaceDE w:val="0"/>
      <w:autoSpaceDN w:val="0"/>
      <w:adjustRightInd w:val="0"/>
      <w:spacing w:after="0" w:line="240" w:lineRule="auto"/>
      <w:ind w:left="39"/>
    </w:pPr>
    <w:rPr>
      <w:rFonts w:ascii="Segoe UI" w:hAnsi="Segoe UI" w:cs="Segoe U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079A"/>
    <w:rPr>
      <w:rFonts w:ascii="Segoe UI" w:hAnsi="Segoe UI" w:cs="Segoe UI"/>
      <w:sz w:val="24"/>
      <w:szCs w:val="24"/>
    </w:rPr>
  </w:style>
  <w:style w:type="paragraph" w:customStyle="1" w:styleId="Default">
    <w:name w:val="Default"/>
    <w:rsid w:val="00C30B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52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612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11372-BD2E-4900-A5F8-CC2B6546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Azevedo</dc:creator>
  <cp:lastModifiedBy>Kenney, Yesenia@DOT</cp:lastModifiedBy>
  <cp:revision>2</cp:revision>
  <cp:lastPrinted>2017-01-06T18:32:00Z</cp:lastPrinted>
  <dcterms:created xsi:type="dcterms:W3CDTF">2025-01-28T16:53:00Z</dcterms:created>
  <dcterms:modified xsi:type="dcterms:W3CDTF">2025-01-28T16:53:00Z</dcterms:modified>
</cp:coreProperties>
</file>